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C7" w:rsidRPr="00DA31B5" w:rsidRDefault="00E11D58" w:rsidP="003608C7">
      <w:pPr>
        <w:jc w:val="both"/>
        <w:rPr>
          <w:rFonts w:asciiTheme="minorHAnsi" w:eastAsia="Arial Unicode MS" w:hAnsiTheme="minorHAnsi" w:cs="Arial Unicode MS"/>
          <w:color w:val="CC0066"/>
          <w:sz w:val="40"/>
          <w:lang w:eastAsia="en-GB"/>
        </w:rPr>
      </w:pPr>
      <w:r w:rsidRPr="00DA31B5">
        <w:rPr>
          <w:rFonts w:asciiTheme="minorHAnsi" w:eastAsia="Arial Unicode MS" w:hAnsiTheme="minorHAnsi" w:cs="Arial Unicode MS"/>
          <w:color w:val="CC0066"/>
          <w:sz w:val="40"/>
          <w:lang w:eastAsia="en-GB"/>
        </w:rPr>
        <w:t>General principles</w:t>
      </w:r>
    </w:p>
    <w:p w:rsidR="003608C7" w:rsidRDefault="00BA7D94" w:rsidP="003608C7">
      <w:pPr>
        <w:jc w:val="both"/>
        <w:rPr>
          <w:rFonts w:asciiTheme="minorHAnsi" w:eastAsia="Arial Unicode MS" w:hAnsiTheme="minorHAnsi"/>
        </w:rPr>
      </w:pPr>
    </w:p>
    <w:p w:rsidR="003608C7" w:rsidRPr="00C8030F" w:rsidRDefault="00E11D58"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t>Basis of preparation</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Accounts and Audit Regulations 2015 require the county council to prepare an annual statement of accounts in accordance with proper accounting practices, mainly the Chartered Institute of Public Finance and Accountancy (CIPFA) Code of Practice on Local Authority Accounting in the United Kingdom, supported by International Financial Reporting Standards (IFRS).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Th</w:t>
      </w:r>
      <w:r w:rsidRPr="00C8030F">
        <w:rPr>
          <w:rFonts w:asciiTheme="minorHAnsi" w:hAnsiTheme="minorHAnsi" w:cstheme="minorHAnsi"/>
        </w:rPr>
        <w:t>e accounts are prepared on a going concern basis</w:t>
      </w:r>
      <w:r w:rsidRPr="00C8030F">
        <w:rPr>
          <w:rFonts w:asciiTheme="minorHAnsi" w:eastAsia="Arial Unicode MS" w:hAnsiTheme="minorHAnsi" w:cstheme="minorHAnsi"/>
        </w:rPr>
        <w:t xml:space="preserve">, under the assumption that the county council will continue in existence for the foreseeable future.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accounting convention adopted is principally historical cost modified for the valuation of certain categories of non-current assets and financial instruments.</w:t>
      </w:r>
    </w:p>
    <w:p w:rsidR="003608C7" w:rsidRPr="00C8030F" w:rsidRDefault="00BA7D94" w:rsidP="003608C7">
      <w:pPr>
        <w:jc w:val="both"/>
        <w:rPr>
          <w:rFonts w:asciiTheme="minorHAnsi" w:eastAsia="Arial Unicode MS" w:hAnsiTheme="minorHAnsi" w:cstheme="minorHAnsi"/>
          <w:color w:val="CC0066"/>
          <w:sz w:val="28"/>
          <w:u w:val="single"/>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Events after the reporting period</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highlight w:val="magenta"/>
        </w:rPr>
      </w:pPr>
      <w:r w:rsidRPr="00C8030F">
        <w:rPr>
          <w:rFonts w:asciiTheme="minorHAnsi" w:eastAsia="Arial Unicode MS" w:hAnsiTheme="minorHAnsi" w:cstheme="minorHAnsi"/>
        </w:rPr>
        <w:t xml:space="preserve">Events after the balance sheet date are those events, both favourable and unfavourable, that occur between the end of the reporting period and the date when the statement of accounts is authorised for issue.  </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an event occurring after the balance sheet date provides evidence of conditions that existed at the balance sheet date, the amounts recognised in the statement of accounts are adjusted.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an event that occurs after the balance sheet date is indicative of conditions that arose after the balance sheet date, the amounts recognised in the statement of accounts are not adjusted, but where this would have a material effect, it is disclosed in the notes to the accounts.</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Events taking place after the date of authorisation for issue are not reflected in the statement of accounts.</w:t>
      </w: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Group accounts</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Theme="minorHAnsi" w:hAnsiTheme="minorHAnsi" w:cstheme="minorHAnsi"/>
          <w:sz w:val="22"/>
          <w:szCs w:val="22"/>
        </w:rPr>
      </w:pPr>
      <w:r w:rsidRPr="00C8030F">
        <w:rPr>
          <w:rFonts w:asciiTheme="minorHAnsi" w:hAnsiTheme="minorHAnsi" w:cstheme="minorHAnsi"/>
        </w:rPr>
        <w:t xml:space="preserve">The </w:t>
      </w:r>
      <w:r w:rsidRPr="00C8030F">
        <w:rPr>
          <w:rFonts w:asciiTheme="minorHAnsi" w:eastAsia="Arial Unicode MS" w:hAnsiTheme="minorHAnsi" w:cstheme="minorHAnsi"/>
        </w:rPr>
        <w:t xml:space="preserve">county </w:t>
      </w:r>
      <w:r w:rsidRPr="00C8030F">
        <w:rPr>
          <w:rFonts w:asciiTheme="minorHAnsi" w:hAnsiTheme="minorHAnsi" w:cstheme="minorHAnsi"/>
        </w:rPr>
        <w:t>council has a material interest in a subsidiary company, which has been consolidated into the county council’s group accounts on a line-by-line basis, after eliminating intra-group transactions.</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An entity could be material but still not consolidated if all of its business is with the county council and eliminated on consolidation – i.e. the consolidation would mean that the group accounts are not materially different to the single entity accounts.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Pooled budgets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is the host partner of the pooled funds in respect of learning disability services, Better Care Fund and integrated home response and falls lifting service.  The arrangements are made in accordance with Section 75 of the National Health Service Act 2006 and allows budgets to be pooled between authorities and health and social care organisations.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arrangements are accounted for as joint operations and, therefore, the county council accounts for its share of the funds' assets, liabilities, expenditure and income.</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Prior period adjustments, changes in accounting policies, estimates and errors</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Prior period adjustments are made where there are material adjustments applicable to prior years arising from a change in accounting policies or to correct a material error.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highlight w:val="magenta"/>
        </w:rPr>
      </w:pPr>
      <w:r w:rsidRPr="00C8030F">
        <w:rPr>
          <w:rFonts w:asciiTheme="minorHAnsi" w:eastAsia="Arial Unicode MS" w:hAnsiTheme="minorHAnsi" w:cstheme="minorHAnsi"/>
        </w:rPr>
        <w:t xml:space="preserve">Where a change to accounting policies is made, it is applied retrospectively (unless stated otherwise) by adjusting opening balances and comparative amounts for the prior period as if the new policy had always been applied. </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Material errors discovered in prior period figures are corrected retrospectively, by amending opening balances and comparative amounts for the prior period.</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Changes in accounting estimates are accounted for prospectively (i.e. in the current and future years affected by the change) and do not give rise to a prior period adjustment.</w:t>
      </w:r>
    </w:p>
    <w:p w:rsidR="003608C7" w:rsidRPr="00C8030F" w:rsidRDefault="00BA7D94" w:rsidP="003608C7">
      <w:pPr>
        <w:jc w:val="both"/>
        <w:rPr>
          <w:rFonts w:asciiTheme="minorHAnsi" w:eastAsia="Arial Unicode MS" w:hAnsiTheme="minorHAnsi" w:cstheme="minorHAnsi"/>
          <w:color w:val="CC0066"/>
          <w:sz w:val="32"/>
        </w:rPr>
      </w:pPr>
    </w:p>
    <w:p w:rsidR="003608C7" w:rsidRPr="00C8030F" w:rsidRDefault="00E11D58" w:rsidP="003608C7">
      <w:pPr>
        <w:jc w:val="both"/>
        <w:rPr>
          <w:rFonts w:asciiTheme="minorHAnsi" w:eastAsia="Arial Unicode MS" w:hAnsiTheme="minorHAnsi" w:cstheme="minorHAnsi"/>
          <w:color w:val="CC0066"/>
          <w:sz w:val="40"/>
        </w:rPr>
      </w:pPr>
      <w:r w:rsidRPr="00C8030F">
        <w:rPr>
          <w:rFonts w:asciiTheme="minorHAnsi" w:eastAsia="Arial Unicode MS" w:hAnsiTheme="minorHAnsi" w:cstheme="minorHAnsi"/>
          <w:color w:val="CC0066"/>
          <w:sz w:val="40"/>
        </w:rPr>
        <w:t>Accounting policies for income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Recognition of income</w:t>
      </w:r>
    </w:p>
    <w:p w:rsidR="003608C7" w:rsidRPr="00C8030F" w:rsidRDefault="00BA7D94" w:rsidP="003608C7">
      <w:pPr>
        <w:jc w:val="both"/>
        <w:rPr>
          <w:rFonts w:asciiTheme="minorHAnsi" w:eastAsia="Arial Unicode MS" w:hAnsiTheme="minorHAnsi" w:cstheme="minorHAnsi"/>
        </w:rPr>
      </w:pPr>
    </w:p>
    <w:p w:rsidR="003608C7" w:rsidRDefault="00E11D58" w:rsidP="003608C7">
      <w:pPr>
        <w:autoSpaceDE w:val="0"/>
        <w:autoSpaceDN w:val="0"/>
        <w:adjustRightInd w:val="0"/>
        <w:jc w:val="both"/>
        <w:rPr>
          <w:rFonts w:asciiTheme="minorHAnsi" w:eastAsia="Arial Unicode MS" w:hAnsiTheme="minorHAnsi" w:cstheme="minorHAnsi"/>
          <w:lang w:eastAsia="en-GB"/>
        </w:rPr>
      </w:pPr>
      <w:r w:rsidRPr="00C8030F">
        <w:rPr>
          <w:rFonts w:asciiTheme="minorHAnsi" w:eastAsia="Arial Unicode MS" w:hAnsiTheme="minorHAnsi" w:cstheme="minorHAnsi"/>
          <w:color w:val="000000"/>
          <w:lang w:eastAsia="en-GB"/>
        </w:rPr>
        <w:t>Income is accounted for in the financial year in which the activity it relates to takes place, which may not be the same year in which</w:t>
      </w:r>
      <w:r w:rsidRPr="00C8030F">
        <w:rPr>
          <w:rFonts w:asciiTheme="minorHAnsi" w:hAnsiTheme="minorHAnsi" w:cstheme="minorHAnsi"/>
          <w:color w:val="000000"/>
          <w:lang w:eastAsia="en-GB"/>
        </w:rPr>
        <w:t xml:space="preserve"> cash payments are received.</w:t>
      </w:r>
      <w:r w:rsidRPr="00C8030F">
        <w:rPr>
          <w:rFonts w:asciiTheme="minorHAnsi" w:eastAsia="Arial Unicode MS" w:hAnsiTheme="minorHAnsi" w:cstheme="minorHAnsi"/>
          <w:color w:val="000000"/>
          <w:lang w:eastAsia="en-GB"/>
        </w:rPr>
        <w:t xml:space="preserve"> This means that </w:t>
      </w:r>
      <w:r w:rsidRPr="00C8030F">
        <w:rPr>
          <w:rFonts w:asciiTheme="minorHAnsi" w:eastAsia="Arial Unicode MS" w:hAnsiTheme="minorHAnsi" w:cstheme="minorHAnsi"/>
          <w:lang w:eastAsia="en-GB"/>
        </w:rPr>
        <w:t>revenue from the sale of goods or the provision of services is recognised when (or as) the goods or services are transferred to the service recipient in accordance with the performance obligations of the contract.</w:t>
      </w:r>
    </w:p>
    <w:p w:rsidR="003608C7" w:rsidRPr="00C8030F" w:rsidRDefault="00BA7D94" w:rsidP="003608C7">
      <w:pPr>
        <w:autoSpaceDE w:val="0"/>
        <w:autoSpaceDN w:val="0"/>
        <w:adjustRightInd w:val="0"/>
        <w:jc w:val="both"/>
        <w:rPr>
          <w:rFonts w:asciiTheme="minorHAnsi" w:eastAsia="Arial Unicode MS" w:hAnsiTheme="minorHAnsi" w:cstheme="minorHAnsi"/>
          <w:color w:val="000000"/>
          <w:lang w:eastAsia="en-GB"/>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Interest receivable on investments is accounted for as income on the basis of the effective interest rate for the relevant financial instrument rather than the cash flows fixed or determined by the contract.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Where income has been recognised but cash has not been received, a debtor for the relevant amount is recorded in the balance sh</w:t>
      </w:r>
      <w:r w:rsidRPr="00C8030F">
        <w:rPr>
          <w:rFonts w:asciiTheme="minorHAnsi" w:hAnsiTheme="minorHAnsi" w:cstheme="minorHAnsi"/>
        </w:rPr>
        <w:t>eet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debts may not be settled, the balance of debtors is written down and a charge made to revenue for the income that might not be collected.</w:t>
      </w: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Council tax and non-domestic rates income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Both council tax and non-domestic rates are collected by the 12 Lancashire district councils (billing authorities) on behalf of the county council.</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council tax and non-domestic rates income is accounted for on an accruals basis and included in the comprehensive income and expenditure statement within taxation and non-specific grant income.  However, the amount to be reflected in the general fund is determined by regulation, therefore, there is an adjustment for the difference between the accrued income  and the amount required by regulation to be credited to the general fund  made through the movement in reserves statement and the collection fund adjustment account.</w:t>
      </w:r>
    </w:p>
    <w:p w:rsidR="003608C7" w:rsidRPr="00C8030F" w:rsidRDefault="00BA7D94" w:rsidP="003608C7">
      <w:pPr>
        <w:jc w:val="both"/>
        <w:rPr>
          <w:rFonts w:asciiTheme="minorHAnsi" w:eastAsia="Arial Unicode MS" w:hAnsiTheme="minorHAnsi" w:cstheme="minorHAnsi"/>
          <w:highlight w:val="magenta"/>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year-end balance sheet includes the council's share of debtors (arrears and collection fund surpluses), creditors (prepayments, overpayments and collection fund deficits) and provisions (non-domestic rates appeals).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Lancashire has a non-domestic rates pool which was established on 1 April 2016.  It comprises the county council and most but not all of the local authorities in Lancashire, with Ribble Valley Borough Council designated as</w:t>
      </w:r>
      <w:r w:rsidRPr="00C8030F">
        <w:rPr>
          <w:rFonts w:asciiTheme="minorHAnsi" w:hAnsiTheme="minorHAnsi" w:cstheme="minorHAnsi"/>
        </w:rPr>
        <w:t xml:space="preserve"> lead authority.  Lancashire County Council will receive 10% of the overall retained levy with each district within the pool retaining 90% of their levy.</w:t>
      </w:r>
      <w:r w:rsidRPr="00C8030F">
        <w:rPr>
          <w:rFonts w:asciiTheme="minorHAnsi" w:eastAsia="Arial Unicode MS" w:hAnsiTheme="minorHAnsi" w:cstheme="minorHAnsi"/>
        </w:rPr>
        <w:t xml:space="preserve">  In the Lancashire non-domestic rates pool each council bears its own risk and takes its own reward under the pool agreement.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net retained levy for the county council is shown within non-domestic rates retention income in the comprehensive income and expenditure statement.</w:t>
      </w:r>
    </w:p>
    <w:p w:rsidR="003608C7" w:rsidRPr="00C8030F" w:rsidRDefault="00BA7D94" w:rsidP="003608C7">
      <w:pPr>
        <w:jc w:val="both"/>
        <w:rPr>
          <w:rFonts w:asciiTheme="minorHAnsi" w:eastAsiaTheme="minorHAnsi"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Government grants and other contributions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Government grants,</w:t>
      </w:r>
      <w:r w:rsidRPr="00C8030F">
        <w:rPr>
          <w:rFonts w:asciiTheme="minorHAnsi" w:hAnsiTheme="minorHAnsi" w:cstheme="minorHAnsi"/>
        </w:rPr>
        <w:t xml:space="preserve"> third party contributions and donations are recognised when there is reasonable assurance that</w:t>
      </w:r>
      <w:r w:rsidRPr="00C8030F">
        <w:rPr>
          <w:rFonts w:asciiTheme="minorHAnsi" w:eastAsia="Arial Unicode MS" w:hAnsiTheme="minorHAnsi" w:cstheme="minorHAnsi"/>
        </w:rPr>
        <w:t xml:space="preserve"> the county council</w:t>
      </w:r>
      <w:r w:rsidRPr="00C8030F">
        <w:rPr>
          <w:rFonts w:asciiTheme="minorHAnsi" w:hAnsiTheme="minorHAnsi" w:cstheme="minorHAnsi"/>
        </w:rPr>
        <w:t xml:space="preserve"> will comply with the conditions attached to the payments, and</w:t>
      </w:r>
      <w:r w:rsidRPr="00C8030F">
        <w:rPr>
          <w:rFonts w:asciiTheme="minorHAnsi" w:eastAsia="Arial Unicode MS" w:hAnsiTheme="minorHAnsi" w:cstheme="minorHAnsi"/>
        </w:rPr>
        <w:t xml:space="preserve"> the grants or contributions will be received.</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Revenue grants are recognised in the comprehensive income and expenditure statement when the conditions attached to the grant or contribution have been satisfied.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At the end of the year if any grant monies are unspent, this is transferred to an earmarked reserve.  When the grant is applied, an amount equal to the expenditure is transferred back from the earmarked reserve to the general fund.</w:t>
      </w:r>
    </w:p>
    <w:p w:rsidR="003608C7" w:rsidRPr="00C8030F" w:rsidRDefault="00BA7D94" w:rsidP="003608C7">
      <w:pPr>
        <w:jc w:val="both"/>
        <w:rPr>
          <w:rFonts w:asciiTheme="minorHAnsi" w:eastAsia="Arial Unicode MS" w:hAnsiTheme="minorHAnsi" w:cstheme="minorHAnsi"/>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conditions attached to the grants or contributions have not been met, monies received to date are carried in the balance sheet as receipts in advance and credited to the comprehensive income and expenditure statement when the conditions are satisfied.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Capital grants are credited to the comprehensive income and expenditure statement when any relevant conditions have been satisfied.  This income is then</w:t>
      </w:r>
      <w:r w:rsidRPr="00C8030F">
        <w:rPr>
          <w:rFonts w:asciiTheme="minorHAnsi" w:hAnsiTheme="minorHAnsi" w:cstheme="minorHAnsi"/>
        </w:rPr>
        <w:t xml:space="preserve"> reversed out </w:t>
      </w:r>
      <w:r w:rsidRPr="00C8030F">
        <w:rPr>
          <w:rFonts w:asciiTheme="minorHAnsi" w:eastAsia="Arial Unicode MS" w:hAnsiTheme="minorHAnsi" w:cstheme="minorHAnsi"/>
        </w:rPr>
        <w:t xml:space="preserve">of the general fund balance </w:t>
      </w:r>
      <w:r w:rsidRPr="00C8030F">
        <w:rPr>
          <w:rFonts w:asciiTheme="minorHAnsi" w:hAnsiTheme="minorHAnsi" w:cstheme="minorHAnsi"/>
        </w:rPr>
        <w:t>in the movement in reserves statement.</w:t>
      </w:r>
      <w:r w:rsidRPr="00C8030F">
        <w:rPr>
          <w:rFonts w:asciiTheme="minorHAnsi" w:eastAsia="Arial Unicode MS" w:hAnsiTheme="minorHAnsi" w:cstheme="minorHAnsi"/>
        </w:rPr>
        <w:t xml:space="preserve">  Where the grant has yet to be used to finance capital expenditure, it is posted to the capital grants unapplied reserve.  Where it has been applied, it is posted to the capital adjustment account.  Amounts in the capital grants unapplied reserve are transferred to the capital adjustment account once they have been applied to fund capital expenditure.</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grant conditions have not been satisfied then the monies received are carried in the balance sheet as receipts in advance. </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40"/>
        </w:rPr>
      </w:pPr>
      <w:r w:rsidRPr="00C8030F">
        <w:rPr>
          <w:rFonts w:asciiTheme="minorHAnsi" w:eastAsia="Arial Unicode MS" w:hAnsiTheme="minorHAnsi" w:cstheme="minorHAnsi"/>
          <w:color w:val="CC0066"/>
          <w:sz w:val="40"/>
        </w:rPr>
        <w:t>Accounting policies for costs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t>Recognition of expenditure</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Expenditure is accounted for in the financial year in which the activity it relates to takes place, not simply when cash payments are made.  </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Supplies are recorded as expenditure when they are consumed.  Where there is a gap between the date supplies are received and their consumption, they are carried as inventories on the balance sheet.</w:t>
      </w:r>
    </w:p>
    <w:p w:rsidR="003608C7" w:rsidRPr="00C8030F" w:rsidRDefault="00BA7D94" w:rsidP="003608C7">
      <w:pPr>
        <w:jc w:val="both"/>
        <w:rPr>
          <w:rFonts w:asciiTheme="minorHAnsi" w:eastAsia="Arial Unicode MS" w:hAnsiTheme="minorHAnsi" w:cstheme="minorHAnsi"/>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Expenses in relation to services received (including services provided by employees) are recorded as expenditure when the services are received rather than when payments are made.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Interest payable on borrowings is accounted for as expenditure on the basis of the effective interest rate for the relevant financial instrument rather than the cash flows fixed or determined by the contract.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expenditure has been recognised but cash has not been paid, a creditor for the relevant amount is recorded in the balance sheet.  </w:t>
      </w:r>
    </w:p>
    <w:p w:rsidR="003608C7" w:rsidRPr="00C8030F" w:rsidRDefault="00BA7D94" w:rsidP="003608C7">
      <w:pPr>
        <w:jc w:val="both"/>
        <w:rPr>
          <w:rFonts w:asciiTheme="minorHAnsi" w:eastAsia="Arial Unicode MS" w:hAnsiTheme="minorHAnsi" w:cstheme="minorHAnsi"/>
          <w:color w:val="CC0066"/>
          <w:sz w:val="28"/>
          <w:u w:val="single"/>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Charges to revenue for non-current assets</w:t>
      </w:r>
    </w:p>
    <w:p w:rsidR="003608C7" w:rsidRPr="00C8030F" w:rsidRDefault="00BA7D94" w:rsidP="003608C7">
      <w:pPr>
        <w:jc w:val="both"/>
        <w:rPr>
          <w:rFonts w:asciiTheme="minorHAnsi" w:eastAsia="Arial Unicode MS" w:hAnsiTheme="minorHAnsi" w:cstheme="minorHAnsi"/>
          <w:sz w:val="20"/>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Services are charged with the following amounts to record the cost of holding property, plant and equipment during the year:</w:t>
      </w:r>
    </w:p>
    <w:p w:rsidR="003608C7" w:rsidRPr="00C8030F" w:rsidRDefault="00BA7D94" w:rsidP="003608C7">
      <w:pPr>
        <w:jc w:val="both"/>
        <w:rPr>
          <w:rFonts w:asciiTheme="minorHAnsi" w:hAnsiTheme="minorHAnsi" w:cstheme="minorHAnsi"/>
        </w:rPr>
      </w:pPr>
    </w:p>
    <w:p w:rsidR="003608C7" w:rsidRPr="00C8030F" w:rsidRDefault="00E11D58" w:rsidP="003608C7">
      <w:pPr>
        <w:numPr>
          <w:ilvl w:val="0"/>
          <w:numId w:val="5"/>
        </w:numPr>
        <w:jc w:val="both"/>
        <w:rPr>
          <w:rFonts w:asciiTheme="minorHAnsi" w:eastAsia="Arial Unicode MS" w:hAnsiTheme="minorHAnsi" w:cstheme="minorHAnsi"/>
        </w:rPr>
      </w:pPr>
      <w:r w:rsidRPr="00C8030F">
        <w:rPr>
          <w:rFonts w:asciiTheme="minorHAnsi" w:eastAsia="Arial Unicode MS" w:hAnsiTheme="minorHAnsi" w:cstheme="minorHAnsi"/>
        </w:rPr>
        <w:t>Depreciation attributable to the assets used by the relevant service;</w:t>
      </w:r>
    </w:p>
    <w:p w:rsidR="003608C7" w:rsidRPr="00C8030F" w:rsidRDefault="00E11D58" w:rsidP="003608C7">
      <w:pPr>
        <w:numPr>
          <w:ilvl w:val="0"/>
          <w:numId w:val="5"/>
        </w:numPr>
        <w:jc w:val="both"/>
        <w:rPr>
          <w:rFonts w:asciiTheme="minorHAnsi" w:eastAsia="Arial Unicode MS" w:hAnsiTheme="minorHAnsi" w:cstheme="minorHAnsi"/>
        </w:rPr>
      </w:pPr>
      <w:r w:rsidRPr="00C8030F">
        <w:rPr>
          <w:rFonts w:asciiTheme="minorHAnsi" w:eastAsia="Arial Unicode MS" w:hAnsiTheme="minorHAnsi" w:cstheme="minorHAnsi"/>
        </w:rPr>
        <w:t>Revaluation and impairment losses on assets used by the service, where there are no accumulated gains in the revaluation reserve against which the losses can be written off.</w:t>
      </w:r>
    </w:p>
    <w:p w:rsidR="003608C7" w:rsidRPr="00C8030F" w:rsidRDefault="00BA7D94" w:rsidP="003608C7">
      <w:pPr>
        <w:jc w:val="both"/>
        <w:rPr>
          <w:rFonts w:asciiTheme="minorHAnsi" w:eastAsia="Arial Unicode MS" w:hAnsiTheme="minorHAnsi" w:cstheme="minorHAnsi"/>
          <w:color w:val="CC0066"/>
          <w:u w:val="single"/>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Employee benefits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Employee benefits payable during employment</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sz w:val="22"/>
          <w:szCs w:val="22"/>
        </w:rPr>
      </w:pPr>
      <w:r>
        <w:rPr>
          <w:rFonts w:asciiTheme="minorHAnsi" w:eastAsia="Arial Unicode MS" w:hAnsiTheme="minorHAnsi" w:cstheme="minorHAnsi"/>
        </w:rPr>
        <w:t xml:space="preserve">Short </w:t>
      </w:r>
      <w:r w:rsidRPr="00C8030F">
        <w:rPr>
          <w:rFonts w:asciiTheme="minorHAnsi" w:eastAsia="Arial Unicode MS" w:hAnsiTheme="minorHAnsi" w:cstheme="minorHAnsi"/>
        </w:rPr>
        <w:t>term employee benefits such as</w:t>
      </w:r>
      <w:r w:rsidRPr="00C8030F">
        <w:rPr>
          <w:rFonts w:asciiTheme="minorHAnsi" w:hAnsiTheme="minorHAnsi" w:cstheme="minorHAnsi"/>
        </w:rPr>
        <w:t xml:space="preserve"> wages and salaries, paid annual leave and paid sick leave and </w:t>
      </w:r>
      <w:r w:rsidRPr="00C8030F">
        <w:rPr>
          <w:rFonts w:asciiTheme="minorHAnsi" w:eastAsia="Arial Unicode MS" w:hAnsiTheme="minorHAnsi" w:cstheme="minorHAnsi"/>
        </w:rPr>
        <w:t>expenses are paid on a monthly basis and charged on</w:t>
      </w:r>
      <w:r w:rsidRPr="00C8030F">
        <w:rPr>
          <w:rFonts w:asciiTheme="minorHAnsi" w:hAnsiTheme="minorHAnsi" w:cstheme="minorHAnsi"/>
        </w:rPr>
        <w:t xml:space="preserve"> an </w:t>
      </w:r>
      <w:r w:rsidRPr="00C8030F">
        <w:rPr>
          <w:rFonts w:asciiTheme="minorHAnsi" w:eastAsia="Arial Unicode MS" w:hAnsiTheme="minorHAnsi" w:cstheme="minorHAnsi"/>
        </w:rPr>
        <w:t>accruals basis to the relevant</w:t>
      </w:r>
      <w:r w:rsidRPr="00C8030F">
        <w:rPr>
          <w:rFonts w:asciiTheme="minorHAnsi" w:hAnsiTheme="minorHAnsi" w:cstheme="minorHAnsi"/>
        </w:rPr>
        <w:t xml:space="preserve"> service </w:t>
      </w:r>
      <w:r w:rsidRPr="00C8030F">
        <w:rPr>
          <w:rFonts w:asciiTheme="minorHAnsi" w:eastAsia="Arial Unicode MS" w:hAnsiTheme="minorHAnsi" w:cstheme="minorHAnsi"/>
        </w:rPr>
        <w:t xml:space="preserve">line of the comprehensive income and expenditure statement.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An accrual is made for the cost of holiday entitlements earned by employees but not taken before the year end which employees can carry forward into the next financial year.  The accrual is charged to the surplus or deficit on the provision of services, but then reversed out through the movement in reserves statement to the accumulated absences adjustment account.</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Termination benefits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Termination benefits are amounts payable as a result of a decision by the county council to terminate an officer's employment before the normal retirement date or an officer's decision to accept voluntary redundancy.  These are charged on an accruals basis to the respective service in the comprehensive income and expenditure statement, at the earlier of when the county council can no longer withdraw the offer of those benefits or when the county council recognises costs for a restructuring.  </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termination benefits involve the enhancement of pensions, regulations require the general fund to be charged with the amount payable to the pension fund rather than the amount calculated under accounting standards.  Adjustments are made in the movement in reserves statement to transfer the accounting standards based entries to the pension reserve and replace these with the amount payable to the pension fund.</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Post-employment benefits</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hAnsiTheme="minorHAnsi" w:cstheme="minorHAnsi"/>
        </w:rPr>
      </w:pPr>
      <w:r w:rsidRPr="00C8030F">
        <w:rPr>
          <w:rFonts w:asciiTheme="minorHAnsi" w:hAnsiTheme="minorHAnsi" w:cstheme="minorHAnsi"/>
        </w:rPr>
        <w:t>Employees of the county council are members of three separate pension schemes:</w:t>
      </w:r>
    </w:p>
    <w:p w:rsidR="003608C7" w:rsidRPr="00C8030F" w:rsidRDefault="00E11D58" w:rsidP="003608C7">
      <w:pPr>
        <w:jc w:val="both"/>
        <w:rPr>
          <w:rFonts w:asciiTheme="minorHAnsi" w:eastAsia="Arial Unicode MS" w:hAnsiTheme="minorHAnsi" w:cstheme="minorHAnsi"/>
          <w:highlight w:val="magenta"/>
        </w:rPr>
      </w:pPr>
      <w:r w:rsidRPr="00C8030F">
        <w:rPr>
          <w:rFonts w:asciiTheme="minorHAnsi" w:eastAsia="Arial Unicode MS" w:hAnsiTheme="minorHAnsi" w:cstheme="minorHAnsi"/>
        </w:rPr>
        <w:t xml:space="preserve">  </w:t>
      </w:r>
    </w:p>
    <w:p w:rsidR="003608C7" w:rsidRPr="00E85E9D" w:rsidRDefault="00E11D58" w:rsidP="003608C7">
      <w:pPr>
        <w:numPr>
          <w:ilvl w:val="0"/>
          <w:numId w:val="7"/>
        </w:numPr>
        <w:jc w:val="both"/>
        <w:rPr>
          <w:rFonts w:asciiTheme="minorHAnsi" w:eastAsia="Arial Unicode MS" w:hAnsiTheme="minorHAnsi" w:cstheme="minorHAnsi"/>
        </w:rPr>
      </w:pPr>
      <w:r w:rsidRPr="00E85E9D">
        <w:rPr>
          <w:rFonts w:asciiTheme="minorHAnsi" w:eastAsia="Arial Unicode MS" w:hAnsiTheme="minorHAnsi" w:cstheme="minorHAnsi"/>
        </w:rPr>
        <w:t>Teachers' pension scheme, administered by Capita Teachers' pensions on behalf of the Department for Education (DfE);</w:t>
      </w:r>
    </w:p>
    <w:p w:rsidR="003608C7" w:rsidRPr="00E85E9D" w:rsidRDefault="00E11D58" w:rsidP="003608C7">
      <w:pPr>
        <w:numPr>
          <w:ilvl w:val="0"/>
          <w:numId w:val="7"/>
        </w:numPr>
        <w:jc w:val="both"/>
        <w:rPr>
          <w:rFonts w:asciiTheme="minorHAnsi" w:eastAsia="Arial Unicode MS" w:hAnsiTheme="minorHAnsi" w:cstheme="minorHAnsi"/>
        </w:rPr>
      </w:pPr>
      <w:r w:rsidRPr="00E85E9D">
        <w:rPr>
          <w:rFonts w:asciiTheme="minorHAnsi" w:eastAsia="Arial Unicode MS" w:hAnsiTheme="minorHAnsi" w:cstheme="minorHAnsi"/>
        </w:rPr>
        <w:t>Local government pension scheme administered by Lancashire County Council and the Local Pensions Partnership;</w:t>
      </w:r>
    </w:p>
    <w:p w:rsidR="003608C7" w:rsidRPr="00E85E9D" w:rsidRDefault="00E11D58" w:rsidP="003608C7">
      <w:pPr>
        <w:numPr>
          <w:ilvl w:val="0"/>
          <w:numId w:val="7"/>
        </w:numPr>
        <w:jc w:val="both"/>
        <w:rPr>
          <w:rFonts w:asciiTheme="minorHAnsi" w:eastAsia="Arial Unicode MS" w:hAnsiTheme="minorHAnsi" w:cstheme="minorHAnsi"/>
        </w:rPr>
      </w:pPr>
      <w:r w:rsidRPr="00E85E9D">
        <w:rPr>
          <w:rFonts w:asciiTheme="minorHAnsi" w:eastAsia="Arial Unicode MS" w:hAnsiTheme="minorHAnsi" w:cstheme="minorHAnsi"/>
        </w:rPr>
        <w:t>NHS pension scheme administered by NHS Business Services Authority on behalf of the Secretary of State for Health.</w:t>
      </w:r>
    </w:p>
    <w:p w:rsidR="003608C7" w:rsidRPr="00E85E9D"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Each scheme provides defined benefits to members e.g. retirement lump sums and pensions, earned whilst employees are working for the county council.</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w:t>
      </w:r>
      <w:r w:rsidRPr="00C8030F">
        <w:rPr>
          <w:rFonts w:asciiTheme="minorHAnsi" w:hAnsiTheme="minorHAnsi" w:cstheme="minorHAnsi"/>
        </w:rPr>
        <w:t xml:space="preserve"> </w:t>
      </w:r>
      <w:r w:rsidRPr="00C8030F">
        <w:rPr>
          <w:rFonts w:asciiTheme="minorHAnsi" w:eastAsia="Arial Unicode MS" w:hAnsiTheme="minorHAnsi" w:cstheme="minorHAnsi"/>
        </w:rPr>
        <w:t xml:space="preserve">council recognises the cost of post-employment benefits in the cost of services when they are </w:t>
      </w:r>
      <w:r w:rsidRPr="00C8030F">
        <w:rPr>
          <w:rFonts w:asciiTheme="minorHAnsi" w:hAnsiTheme="minorHAnsi" w:cstheme="minorHAnsi"/>
        </w:rPr>
        <w:t>earned by employees</w:t>
      </w:r>
      <w:r w:rsidRPr="00C8030F">
        <w:rPr>
          <w:rFonts w:asciiTheme="minorHAnsi" w:eastAsia="Arial Unicode MS" w:hAnsiTheme="minorHAnsi" w:cstheme="minorHAnsi"/>
        </w:rPr>
        <w:t xml:space="preserve">, although these </w:t>
      </w:r>
      <w:r w:rsidRPr="00C8030F">
        <w:rPr>
          <w:rFonts w:asciiTheme="minorHAnsi" w:hAnsiTheme="minorHAnsi" w:cstheme="minorHAnsi"/>
        </w:rPr>
        <w:t xml:space="preserve">benefits </w:t>
      </w:r>
      <w:r w:rsidRPr="00C8030F">
        <w:rPr>
          <w:rFonts w:asciiTheme="minorHAnsi" w:eastAsia="Arial Unicode MS" w:hAnsiTheme="minorHAnsi" w:cstheme="minorHAnsi"/>
        </w:rPr>
        <w:t>will not actually be payable until employees retire.</w:t>
      </w:r>
    </w:p>
    <w:p w:rsidR="003608C7" w:rsidRPr="00C8030F" w:rsidRDefault="00BA7D94" w:rsidP="003608C7">
      <w:pPr>
        <w:jc w:val="both"/>
        <w:rPr>
          <w:rFonts w:asciiTheme="minorHAnsi" w:eastAsia="Arial Unicode MS" w:hAnsiTheme="minorHAnsi" w:cstheme="minorHAnsi"/>
          <w:sz w:val="22"/>
          <w:szCs w:val="22"/>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Statutory provisions require the general fund to be charged with the amount payable by the county council to the pension fund or directly to pensioners in the year, not the amount calculated according to accounting standards.  The real cost of post-employment benefits is reversed out of the general fund via the movement in reserves statement and replaced with the cash paid to the pension fund and pensioners.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balance on the pensions reserve measures the beneficial impact to the general fund of being required to account for retirement benefits on the basis of cash flows rather than as benefits are earned by employees.</w:t>
      </w:r>
    </w:p>
    <w:p w:rsidR="003608C7" w:rsidRPr="00C8030F" w:rsidRDefault="00BA7D94" w:rsidP="003608C7">
      <w:pPr>
        <w:jc w:val="both"/>
        <w:rPr>
          <w:rFonts w:asciiTheme="minorHAnsi" w:eastAsia="Arial Unicode MS" w:hAnsiTheme="minorHAnsi" w:cstheme="minorHAnsi"/>
          <w:color w:val="CC0066"/>
          <w:sz w:val="28"/>
          <w:lang w:eastAsia="en-GB"/>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arrangements for the teachers’ scheme and NHS scheme mean that liabilities for these benefits cannot be identified to the county council.  The schemes are accounted for as if they were a defined contributions scheme and no liability for future payments of benefits is recognised in the balance sheet.  The education and public health service revenue accounts are charged with the employer’s contributions payable to teachers’ and NHS pensions respectively.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lang w:eastAsia="en-GB"/>
        </w:rPr>
      </w:pPr>
      <w:r w:rsidRPr="00C8030F">
        <w:rPr>
          <w:rFonts w:asciiTheme="minorHAnsi" w:eastAsia="Arial Unicode MS" w:hAnsiTheme="minorHAnsi" w:cstheme="minorHAnsi"/>
          <w:color w:val="CC0066"/>
          <w:sz w:val="28"/>
          <w:lang w:eastAsia="en-GB"/>
        </w:rPr>
        <w:t>Local government pension scheme</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 xml:space="preserve">The liabilities of the Lancashire County Pension Fund attributable to the county </w:t>
      </w:r>
      <w:r w:rsidRPr="00C8030F">
        <w:rPr>
          <w:rFonts w:asciiTheme="minorHAnsi" w:hAnsiTheme="minorHAnsi" w:cstheme="minorHAnsi"/>
        </w:rPr>
        <w:t>council are included in the balance sheet on an actuarial basis using the projected unit method</w:t>
      </w:r>
      <w:r w:rsidRPr="00C8030F">
        <w:rPr>
          <w:rFonts w:asciiTheme="minorHAnsi" w:eastAsia="Arial Unicode MS" w:hAnsiTheme="minorHAnsi" w:cstheme="minorHAnsi"/>
        </w:rPr>
        <w:t xml:space="preserve"> (i.e. an assessment of the future payments that will be made in relation to retirement benefits earned to date by employees, based on assumptions about mortality rates, employee turnover rates and projected earnings for current employees.)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 xml:space="preserve">Liabilities are discounted to their value at current prices using a discount rate.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assets of the local government pension fund attributable to the county council are included in the balance sheet at their fair value: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numPr>
          <w:ilvl w:val="0"/>
          <w:numId w:val="1"/>
        </w:numPr>
        <w:jc w:val="both"/>
        <w:rPr>
          <w:rFonts w:asciiTheme="minorHAnsi" w:eastAsia="Arial Unicode MS" w:hAnsiTheme="minorHAnsi" w:cstheme="minorHAnsi"/>
        </w:rPr>
      </w:pPr>
      <w:r w:rsidRPr="00C8030F">
        <w:rPr>
          <w:rFonts w:asciiTheme="minorHAnsi" w:eastAsia="Arial Unicode MS" w:hAnsiTheme="minorHAnsi" w:cstheme="minorHAnsi"/>
        </w:rPr>
        <w:t>Quoted securities – current bid market price;</w:t>
      </w:r>
    </w:p>
    <w:p w:rsidR="003608C7" w:rsidRPr="00C8030F" w:rsidRDefault="00E11D58" w:rsidP="003608C7">
      <w:pPr>
        <w:numPr>
          <w:ilvl w:val="0"/>
          <w:numId w:val="1"/>
        </w:numPr>
        <w:jc w:val="both"/>
        <w:rPr>
          <w:rFonts w:asciiTheme="minorHAnsi" w:eastAsia="Arial Unicode MS" w:hAnsiTheme="minorHAnsi" w:cstheme="minorHAnsi"/>
        </w:rPr>
      </w:pPr>
      <w:r w:rsidRPr="00C8030F">
        <w:rPr>
          <w:rFonts w:asciiTheme="minorHAnsi" w:eastAsia="Arial Unicode MS" w:hAnsiTheme="minorHAnsi" w:cstheme="minorHAnsi"/>
        </w:rPr>
        <w:t>Unquoted securities – professional estimate of market value;</w:t>
      </w:r>
    </w:p>
    <w:p w:rsidR="003608C7" w:rsidRPr="00C8030F" w:rsidRDefault="00E11D58" w:rsidP="003608C7">
      <w:pPr>
        <w:numPr>
          <w:ilvl w:val="0"/>
          <w:numId w:val="1"/>
        </w:numPr>
        <w:jc w:val="both"/>
        <w:rPr>
          <w:rFonts w:asciiTheme="minorHAnsi" w:eastAsia="Arial Unicode MS" w:hAnsiTheme="minorHAnsi" w:cstheme="minorHAnsi"/>
        </w:rPr>
      </w:pPr>
      <w:r w:rsidRPr="00C8030F">
        <w:rPr>
          <w:rFonts w:asciiTheme="minorHAnsi" w:eastAsia="Arial Unicode MS" w:hAnsiTheme="minorHAnsi" w:cstheme="minorHAnsi"/>
        </w:rPr>
        <w:t>Unitised securities – current bid price;</w:t>
      </w:r>
    </w:p>
    <w:p w:rsidR="003608C7" w:rsidRPr="00C8030F" w:rsidRDefault="00E11D58" w:rsidP="003608C7">
      <w:pPr>
        <w:numPr>
          <w:ilvl w:val="0"/>
          <w:numId w:val="1"/>
        </w:numPr>
        <w:jc w:val="both"/>
        <w:rPr>
          <w:rFonts w:asciiTheme="minorHAnsi" w:eastAsia="Arial Unicode MS" w:hAnsiTheme="minorHAnsi" w:cstheme="minorHAnsi"/>
        </w:rPr>
      </w:pPr>
      <w:r w:rsidRPr="00C8030F">
        <w:rPr>
          <w:rFonts w:asciiTheme="minorHAnsi" w:eastAsia="Arial Unicode MS" w:hAnsiTheme="minorHAnsi" w:cstheme="minorHAnsi"/>
        </w:rPr>
        <w:t>Property – market value.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change in the net pension liability is analysed into the following components: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Service costs: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Current service cost is the increase in liabilities as a result of years of service earned this year and is allocated in the comprehensive income and expenditure statement to the services for which the employees worked.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Past service cost is the increase in liabilities as a result of a scheme amendment or curtailment whose effect relates to years of service earned in earlier years this is charged to the surplus or deficit on the provision of services in the comprehensive income and expenditure statement.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Net interest on the net defined benefit liability:</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expected increase in the present value of liabilities during the year as they move one year closer to being paid, offset by the interest on assets; which is the interest on assets held at the start of the year and cash flows occurring during the period.  The result is debited to the financing and investment income and expenditure line in the comprehensive income and expenditure statement.</w:t>
      </w:r>
    </w:p>
    <w:p w:rsidR="003608C7"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Re-measurements: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These comprise the return on plan assets (excluding amounts included in net interest) and actuarial gains and losses.  Actuarial gains and losses are </w:t>
      </w:r>
      <w:r w:rsidRPr="00C8030F">
        <w:rPr>
          <w:rFonts w:asciiTheme="minorHAnsi" w:eastAsia="Arial Unicode MS" w:hAnsiTheme="minorHAnsi" w:cstheme="minorHAnsi"/>
        </w:rPr>
        <w:t xml:space="preserve">the changes in the net pension liability, which arise because actuaries have updated their assumptions.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Re-measurements are charged to the pensions reserve as other comprehensive income and expenditure.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Contributions paid to the Lancashire County Pension Fund: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Cash paid as employer’s contribution to the pension fund in settlement of liabilities; not accounted for as an expense.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Discretionary benefits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also has restricted powers to make discretionary awards of retirement benefits in the event of early retirements.  Any liabilities estimated to arise as a result of an award to any member of staff (including teachers) are accrued in the year of the decision to make the award and accounted for using the same policies as are applied to the Local Government Pension Scheme.</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Long term contracts</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Long term contracts are accounted for on the basis of charging the surplus or deficit on the provision of services, with the works and services received under the contract during the financial year.</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 xml:space="preserve">Overheads and support services </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hAnsiTheme="minorHAnsi" w:cstheme="minorHAnsi"/>
        </w:rPr>
      </w:pPr>
      <w:r w:rsidRPr="00C8030F">
        <w:rPr>
          <w:rFonts w:asciiTheme="minorHAnsi" w:eastAsia="Arial Unicode MS" w:hAnsiTheme="minorHAnsi" w:cstheme="minorHAnsi"/>
        </w:rPr>
        <w:t>The costs of overheads and support services are charged to services in accordance with the county council’s arrangements for accountability and financial performance</w:t>
      </w:r>
    </w:p>
    <w:p w:rsidR="003608C7" w:rsidRPr="00C8030F" w:rsidRDefault="00BA7D94" w:rsidP="003608C7">
      <w:pPr>
        <w:jc w:val="both"/>
        <w:rPr>
          <w:rFonts w:asciiTheme="minorHAnsi" w:eastAsia="Arial Unicode MS" w:hAnsiTheme="minorHAnsi" w:cstheme="minorHAnsi"/>
          <w:color w:val="CC0066"/>
          <w:sz w:val="28"/>
          <w:u w:val="single"/>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Private finance initiative (PFI)</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PFI and similar contracts are agreements to receive services, where responsibility for making available the property, plant and equipment </w:t>
      </w:r>
      <w:r w:rsidRPr="00C8030F">
        <w:rPr>
          <w:rFonts w:asciiTheme="minorHAnsi" w:eastAsia="Arial Unicode MS" w:hAnsiTheme="minorHAnsi" w:cstheme="minorHAnsi"/>
        </w:rPr>
        <w:lastRenderedPageBreak/>
        <w:t xml:space="preserve">needed to provide services passes to the PFI contractor.  As the county council is deemed to control the services that are provided under the PFI schemes, and as ownership of the property, plant and equipment will pass to the county council at the end of the contracts for no additional charge, the county council carries the assets used under the contracts on the balance sheet as part of property, plant and equipment.  </w:t>
      </w:r>
    </w:p>
    <w:p w:rsidR="003608C7" w:rsidRPr="00C8030F" w:rsidRDefault="00BA7D94" w:rsidP="003608C7">
      <w:pPr>
        <w:jc w:val="both"/>
        <w:rPr>
          <w:rFonts w:asciiTheme="minorHAnsi" w:eastAsia="Arial Unicode MS" w:hAnsiTheme="minorHAnsi" w:cstheme="minorHAnsi"/>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original recognition of these assets at fair value (based on the cost to purchase the property, plant and equipment) was balanced by the recognition of a liability, for amounts due to the scheme operation to pay for the capital investment.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Non-current assets related to these contracts and recognised on the balance sheet are revalued and depreciated in the same way as property, plant and equipment owned by the county council.</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county council makes agreed payments each year to the operators, increased in line with inflation where stated in the contract and similarly reduced if performance falls below minimum standards in any year. </w:t>
      </w:r>
    </w:p>
    <w:p w:rsidR="003608C7" w:rsidRPr="00C8030F" w:rsidRDefault="00BA7D94" w:rsidP="003608C7">
      <w:pPr>
        <w:jc w:val="both"/>
        <w:rPr>
          <w:rFonts w:asciiTheme="minorHAnsi" w:eastAsia="Arial Unicode MS" w:hAnsiTheme="minorHAnsi" w:cstheme="minorHAnsi"/>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charge made up of the cost of services received during the year, which is charged to the relevant service line in the comprehensive income and expenditure statement and a charge for the property, which is split between:</w:t>
      </w:r>
    </w:p>
    <w:p w:rsidR="003608C7" w:rsidRPr="00C8030F" w:rsidRDefault="00E11D58" w:rsidP="003608C7">
      <w:pPr>
        <w:numPr>
          <w:ilvl w:val="0"/>
          <w:numId w:val="9"/>
        </w:numPr>
        <w:jc w:val="both"/>
        <w:rPr>
          <w:rFonts w:asciiTheme="minorHAnsi" w:eastAsia="Arial Unicode MS" w:hAnsiTheme="minorHAnsi" w:cstheme="minorHAnsi"/>
        </w:rPr>
      </w:pPr>
      <w:r w:rsidRPr="00C8030F">
        <w:rPr>
          <w:rFonts w:asciiTheme="minorHAnsi" w:eastAsia="Arial Unicode MS" w:hAnsiTheme="minorHAnsi" w:cstheme="minorHAnsi"/>
        </w:rPr>
        <w:t>The interest charge on the outstanding liability, debited to the financing and investment income and expenditure line in the comprehensive income and expenditure statement;</w:t>
      </w:r>
    </w:p>
    <w:p w:rsidR="003608C7" w:rsidRPr="00C8030F" w:rsidRDefault="00E11D58" w:rsidP="003608C7">
      <w:pPr>
        <w:numPr>
          <w:ilvl w:val="0"/>
          <w:numId w:val="9"/>
        </w:numPr>
        <w:jc w:val="both"/>
        <w:rPr>
          <w:rFonts w:asciiTheme="minorHAnsi" w:eastAsia="Arial Unicode MS" w:hAnsiTheme="minorHAnsi" w:cstheme="minorHAnsi"/>
        </w:rPr>
      </w:pPr>
      <w:r w:rsidRPr="00C8030F">
        <w:rPr>
          <w:rFonts w:asciiTheme="minorHAnsi" w:eastAsia="Arial Unicode MS" w:hAnsiTheme="minorHAnsi" w:cstheme="minorHAnsi"/>
        </w:rPr>
        <w:t>The contingent rent, debited to the financing and investment income line in the comprehensive income and expenditure statement;</w:t>
      </w:r>
    </w:p>
    <w:p w:rsidR="003608C7" w:rsidRPr="00C8030F" w:rsidRDefault="00E11D58" w:rsidP="003608C7">
      <w:pPr>
        <w:numPr>
          <w:ilvl w:val="0"/>
          <w:numId w:val="9"/>
        </w:numPr>
        <w:jc w:val="both"/>
        <w:rPr>
          <w:rFonts w:asciiTheme="minorHAnsi" w:eastAsia="Arial Unicode MS" w:hAnsiTheme="minorHAnsi" w:cstheme="minorHAnsi"/>
        </w:rPr>
      </w:pPr>
      <w:r w:rsidRPr="00C8030F">
        <w:rPr>
          <w:rFonts w:asciiTheme="minorHAnsi" w:eastAsia="Arial Unicode MS" w:hAnsiTheme="minorHAnsi" w:cstheme="minorHAnsi"/>
        </w:rPr>
        <w:t>The payment towards the outstanding liability which is applied to write down the balance sheet liability;</w:t>
      </w:r>
    </w:p>
    <w:p w:rsidR="003608C7" w:rsidRDefault="00E11D58" w:rsidP="003608C7">
      <w:pPr>
        <w:numPr>
          <w:ilvl w:val="0"/>
          <w:numId w:val="9"/>
        </w:numPr>
        <w:jc w:val="both"/>
        <w:rPr>
          <w:rFonts w:asciiTheme="minorHAnsi" w:eastAsia="Arial Unicode MS" w:hAnsiTheme="minorHAnsi" w:cstheme="minorHAnsi"/>
        </w:rPr>
      </w:pPr>
      <w:r w:rsidRPr="00C8030F">
        <w:rPr>
          <w:rFonts w:asciiTheme="minorHAnsi" w:eastAsia="Arial Unicode MS" w:hAnsiTheme="minorHAnsi" w:cstheme="minorHAnsi"/>
        </w:rPr>
        <w:t xml:space="preserve">Lifecycle replacement costs (split between revenue and capital costs).  Revenue lifecycle costs are debited to the relevant service in the comprehensive income and expenditure statement.  Capital lifecycle costs are posted to the balance sheet as a prepayment and </w:t>
      </w:r>
      <w:r w:rsidRPr="00C8030F">
        <w:rPr>
          <w:rFonts w:asciiTheme="minorHAnsi" w:eastAsia="Arial Unicode MS" w:hAnsiTheme="minorHAnsi" w:cstheme="minorHAnsi"/>
        </w:rPr>
        <w:t>then recognised as additions to property, plant and equipment when the relevant works are eventually carried out.</w:t>
      </w: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Provisions, contingent assets and contingent liabilities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Provisions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Provisions are made where an event has taken place that gives the county council a legal or constructive obligation that probably requires settlement, by a transfer of economic benefits or service potential and, a reliable estimate can be made of the amount of the obligation.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Provisions are charged as an expense to the appropriate service line in the comprehensive income and expenditure statement, in the year the county council becomes aware of the obligation, and are measured at the best estimate at the balance sheet date of the expenditure required to settle the obligation, taking into account relevant risks and uncertainties.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some or all of the payment required to settle a provision is expected to be met by another party (e.g. from an insurance claim), this is only recognised as income in the relevant service revenue account if it is virtually certain that reimbursement will be received if the obligation is settled.</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Contingent assets</w:t>
      </w:r>
    </w:p>
    <w:p w:rsidR="003608C7" w:rsidRPr="00C8030F" w:rsidRDefault="00BA7D94" w:rsidP="003608C7">
      <w:pPr>
        <w:jc w:val="both"/>
        <w:rPr>
          <w:rFonts w:asciiTheme="minorHAnsi" w:eastAsia="Arial Unicode MS" w:hAnsiTheme="minorHAnsi" w:cstheme="minorHAnsi"/>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A contingent asset arises where an event has taken place that gives the county council a possible asset, whose existence will only be confirmed by the occurrence or non-occurrence of uncertain future events not wholly within the control of the county council.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Contingent assets are not recognised in the balance sheet but disclosed in a note to the accounts. </w:t>
      </w:r>
    </w:p>
    <w:p w:rsidR="00B8062F" w:rsidRDefault="00B8062F" w:rsidP="003608C7">
      <w:pPr>
        <w:jc w:val="both"/>
        <w:rPr>
          <w:rFonts w:asciiTheme="minorHAnsi" w:eastAsia="Arial Unicode MS" w:hAnsiTheme="minorHAnsi" w:cstheme="minorHAnsi"/>
          <w:color w:val="CC0066"/>
          <w:sz w:val="28"/>
        </w:rPr>
      </w:pPr>
    </w:p>
    <w:p w:rsidR="00B8062F" w:rsidRDefault="00B8062F" w:rsidP="003608C7">
      <w:pPr>
        <w:jc w:val="both"/>
        <w:rPr>
          <w:rFonts w:asciiTheme="minorHAnsi" w:eastAsia="Arial Unicode MS" w:hAnsiTheme="minorHAnsi" w:cstheme="minorHAnsi"/>
          <w:color w:val="CC0066"/>
          <w:sz w:val="28"/>
        </w:rPr>
      </w:pPr>
    </w:p>
    <w:p w:rsidR="00B8062F" w:rsidRDefault="00B8062F" w:rsidP="003608C7">
      <w:pPr>
        <w:jc w:val="both"/>
        <w:rPr>
          <w:rFonts w:asciiTheme="minorHAnsi" w:eastAsia="Arial Unicode MS" w:hAnsiTheme="minorHAnsi" w:cstheme="minorHAnsi"/>
          <w:color w:val="CC0066"/>
          <w:sz w:val="28"/>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lastRenderedPageBreak/>
        <w:t>Contingent liabilities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Contingent liabilities arise where</w:t>
      </w:r>
      <w:r w:rsidRPr="00C8030F">
        <w:rPr>
          <w:rFonts w:asciiTheme="minorHAnsi" w:hAnsiTheme="minorHAnsi" w:cstheme="minorHAnsi"/>
        </w:rPr>
        <w:t xml:space="preserve"> </w:t>
      </w:r>
      <w:r w:rsidRPr="00C8030F">
        <w:rPr>
          <w:rFonts w:asciiTheme="minorHAnsi" w:eastAsia="Arial Unicode MS" w:hAnsiTheme="minorHAnsi" w:cstheme="minorHAnsi"/>
        </w:rPr>
        <w:t>either:</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numPr>
          <w:ilvl w:val="0"/>
          <w:numId w:val="8"/>
        </w:numPr>
        <w:jc w:val="both"/>
        <w:rPr>
          <w:rFonts w:asciiTheme="minorHAnsi" w:eastAsia="Arial Unicode MS" w:hAnsiTheme="minorHAnsi" w:cstheme="minorHAnsi"/>
        </w:rPr>
      </w:pPr>
      <w:r w:rsidRPr="00C8030F">
        <w:rPr>
          <w:rFonts w:asciiTheme="minorHAnsi" w:eastAsia="Arial Unicode MS" w:hAnsiTheme="minorHAnsi" w:cstheme="minorHAnsi"/>
        </w:rPr>
        <w:t xml:space="preserve">a possible obligation has arisen from past events, whose existence will be confirmed by the occurrence or non-occurrence of uncertain future events not wholly within the control of the county council.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numPr>
          <w:ilvl w:val="0"/>
          <w:numId w:val="8"/>
        </w:numPr>
        <w:jc w:val="both"/>
        <w:rPr>
          <w:rFonts w:asciiTheme="minorHAnsi" w:eastAsia="Arial Unicode MS" w:hAnsiTheme="minorHAnsi" w:cstheme="minorHAnsi"/>
        </w:rPr>
      </w:pPr>
      <w:r w:rsidRPr="00C8030F">
        <w:rPr>
          <w:rFonts w:asciiTheme="minorHAnsi" w:eastAsia="Arial Unicode MS" w:hAnsiTheme="minorHAnsi" w:cstheme="minorHAnsi"/>
        </w:rPr>
        <w:t>a present obligation may arise from past events but it is not recognised because either it is not probable that the outflow of resources will be required or, the amount of the obligation cannot be measured reliably.</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Contingent liabilities are not recognised in the balance sheet but disclosed in a note to the accounts.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t>Revenue expenditure funded from capital under statute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Capital expenditure incurred during the year that </w:t>
      </w:r>
      <w:r w:rsidRPr="00C8030F">
        <w:rPr>
          <w:rFonts w:asciiTheme="minorHAnsi" w:hAnsiTheme="minorHAnsi" w:cstheme="minorHAnsi"/>
        </w:rPr>
        <w:t xml:space="preserve">does not </w:t>
      </w:r>
      <w:r w:rsidRPr="00C8030F">
        <w:rPr>
          <w:rFonts w:asciiTheme="minorHAnsi" w:eastAsia="Arial Unicode MS" w:hAnsiTheme="minorHAnsi" w:cstheme="minorHAnsi"/>
        </w:rPr>
        <w:t>create an</w:t>
      </w:r>
      <w:r w:rsidRPr="00C8030F">
        <w:rPr>
          <w:rFonts w:asciiTheme="minorHAnsi" w:hAnsiTheme="minorHAnsi" w:cstheme="minorHAnsi"/>
        </w:rPr>
        <w:t xml:space="preserve"> asset </w:t>
      </w:r>
      <w:r w:rsidRPr="00C8030F">
        <w:rPr>
          <w:rFonts w:asciiTheme="minorHAnsi" w:eastAsia="Arial Unicode MS" w:hAnsiTheme="minorHAnsi" w:cstheme="minorHAnsi"/>
        </w:rPr>
        <w:t>of the county council is</w:t>
      </w:r>
      <w:r w:rsidRPr="00C8030F">
        <w:rPr>
          <w:rFonts w:asciiTheme="minorHAnsi" w:hAnsiTheme="minorHAnsi" w:cstheme="minorHAnsi"/>
        </w:rPr>
        <w:t xml:space="preserve"> charged to the relevant service in the comprehensive income and expenditure statement </w:t>
      </w:r>
      <w:r w:rsidRPr="00C8030F">
        <w:rPr>
          <w:rFonts w:asciiTheme="minorHAnsi" w:eastAsia="Arial Unicode MS" w:hAnsiTheme="minorHAnsi" w:cstheme="minorHAnsi"/>
        </w:rPr>
        <w:t xml:space="preserve">but funded from </w:t>
      </w:r>
      <w:r w:rsidRPr="00C8030F">
        <w:rPr>
          <w:rFonts w:asciiTheme="minorHAnsi" w:hAnsiTheme="minorHAnsi" w:cstheme="minorHAnsi"/>
        </w:rPr>
        <w:t xml:space="preserve">capital </w:t>
      </w:r>
      <w:r w:rsidRPr="00C8030F">
        <w:rPr>
          <w:rFonts w:asciiTheme="minorHAnsi" w:eastAsia="Arial Unicode MS" w:hAnsiTheme="minorHAnsi" w:cstheme="minorHAnsi"/>
        </w:rPr>
        <w:t xml:space="preserve">sources.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An adjustment is made in the movement in reserves statement from the general fund to the capital adjustment account to reverse out the amounts charged so that there is no impact on the level of council tax.</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Value added tax (VAT)</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comprehensive income and expenditure account excludes amounts relating to VAT and will be included as an expense, only if it is not recoverable from Her Majesty's Revenue and Customs.  VAT receivable is excluded from income.</w:t>
      </w:r>
    </w:p>
    <w:p w:rsidR="003608C7" w:rsidRDefault="00BA7D94" w:rsidP="003608C7">
      <w:pPr>
        <w:jc w:val="both"/>
        <w:rPr>
          <w:rFonts w:asciiTheme="minorHAnsi" w:hAnsiTheme="minorHAnsi" w:cstheme="minorHAnsi"/>
          <w:highlight w:val="magenta"/>
        </w:rPr>
      </w:pPr>
    </w:p>
    <w:p w:rsidR="00B8062F" w:rsidRDefault="00B8062F" w:rsidP="003608C7">
      <w:pPr>
        <w:jc w:val="both"/>
        <w:rPr>
          <w:rFonts w:asciiTheme="minorHAnsi"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40"/>
        </w:rPr>
      </w:pPr>
      <w:r w:rsidRPr="00C8030F">
        <w:rPr>
          <w:rFonts w:asciiTheme="minorHAnsi" w:eastAsia="Arial Unicode MS" w:hAnsiTheme="minorHAnsi" w:cstheme="minorHAnsi"/>
          <w:color w:val="CC0066"/>
          <w:sz w:val="40"/>
        </w:rPr>
        <w:t>Accounting policies for assets and liabilities</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Cash and cash equivalents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Cash is represented by cash in hand and deposits with financial institutions repayable without penalty on notice of not more than 24 hours.  Cash equivalents are investments that mature or are available for recall in 3 months or less from the date of acquisition and that are readily convertible to known amounts of cash with insignificant risk of change in value.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Cash and cash equivalents are shown net of bank overdrafts and form an integral part of the council's cash management strategy.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Financial instruments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Financial instruments are </w:t>
      </w:r>
      <w:r w:rsidRPr="00C8030F">
        <w:rPr>
          <w:rFonts w:asciiTheme="minorHAnsi" w:hAnsiTheme="minorHAnsi" w:cstheme="minorHAnsi"/>
        </w:rPr>
        <w:t>recognised on the balance sheet</w:t>
      </w:r>
      <w:r w:rsidRPr="00C8030F">
        <w:rPr>
          <w:rFonts w:asciiTheme="minorHAnsi" w:eastAsia="Arial Unicode MS" w:hAnsiTheme="minorHAnsi" w:cstheme="minorHAnsi"/>
        </w:rPr>
        <w:t xml:space="preserve"> when the county</w:t>
      </w:r>
      <w:r w:rsidRPr="00C8030F">
        <w:rPr>
          <w:rFonts w:asciiTheme="minorHAnsi" w:hAnsiTheme="minorHAnsi" w:cstheme="minorHAnsi"/>
        </w:rPr>
        <w:t xml:space="preserve"> council </w:t>
      </w:r>
      <w:r w:rsidRPr="00C8030F">
        <w:rPr>
          <w:rFonts w:asciiTheme="minorHAnsi" w:eastAsia="Arial Unicode MS" w:hAnsiTheme="minorHAnsi" w:cstheme="minorHAnsi"/>
        </w:rPr>
        <w:t xml:space="preserve">becomes a party to the contractual provisions of a financial instrument.  </w:t>
      </w:r>
    </w:p>
    <w:p w:rsidR="003608C7" w:rsidRPr="00C8030F" w:rsidRDefault="00BA7D94" w:rsidP="003608C7">
      <w:pPr>
        <w:jc w:val="both"/>
        <w:rPr>
          <w:rFonts w:asciiTheme="minorHAnsi" w:eastAsia="Arial Unicode MS" w:hAnsiTheme="minorHAnsi" w:cstheme="minorHAnsi"/>
          <w:sz w:val="22"/>
          <w:szCs w:val="22"/>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Except for financial assets carried at fair value, all other financial liabilities and financial assets represented by investments, borrowing, cash, debtors and creditors are carried on the balance sheet at amortised cost.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t>Financial assets</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 xml:space="preserve">Financial assets are classified based on </w:t>
      </w:r>
      <w:r w:rsidRPr="00C8030F">
        <w:rPr>
          <w:rFonts w:asciiTheme="minorHAnsi" w:hAnsiTheme="minorHAnsi" w:cstheme="minorHAnsi"/>
        </w:rPr>
        <w:t xml:space="preserve">the business model for holding the financial assets and their </w:t>
      </w:r>
      <w:r w:rsidRPr="00C8030F">
        <w:rPr>
          <w:rFonts w:asciiTheme="minorHAnsi" w:eastAsia="Arial Unicode MS" w:hAnsiTheme="minorHAnsi" w:cstheme="minorHAnsi"/>
        </w:rPr>
        <w:t xml:space="preserve">expected </w:t>
      </w:r>
      <w:r w:rsidRPr="00C8030F">
        <w:rPr>
          <w:rFonts w:asciiTheme="minorHAnsi" w:hAnsiTheme="minorHAnsi" w:cstheme="minorHAnsi"/>
        </w:rPr>
        <w:t xml:space="preserve">cash flow characteristics.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Financial assets are classified into one of three categories:</w:t>
      </w:r>
    </w:p>
    <w:p w:rsidR="00B8062F" w:rsidRDefault="00B8062F" w:rsidP="003608C7">
      <w:pPr>
        <w:jc w:val="both"/>
        <w:rPr>
          <w:rFonts w:asciiTheme="minorHAnsi" w:eastAsia="Arial Unicode MS" w:hAnsiTheme="minorHAnsi" w:cstheme="minorHAnsi"/>
        </w:rPr>
      </w:pPr>
    </w:p>
    <w:p w:rsidR="00B8062F" w:rsidRDefault="00B8062F" w:rsidP="003608C7">
      <w:pPr>
        <w:jc w:val="both"/>
        <w:rPr>
          <w:rFonts w:asciiTheme="minorHAnsi" w:eastAsia="Arial Unicode MS" w:hAnsiTheme="minorHAnsi" w:cstheme="minorHAnsi"/>
        </w:rPr>
      </w:pPr>
    </w:p>
    <w:p w:rsidR="00B8062F" w:rsidRDefault="00B8062F" w:rsidP="003608C7">
      <w:pPr>
        <w:jc w:val="both"/>
        <w:rPr>
          <w:rFonts w:asciiTheme="minorHAnsi" w:eastAsia="Arial Unicode MS" w:hAnsiTheme="minorHAnsi" w:cstheme="minorHAnsi"/>
        </w:rPr>
      </w:pPr>
    </w:p>
    <w:p w:rsidR="00B8062F" w:rsidRPr="00C8030F" w:rsidRDefault="00B8062F"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lastRenderedPageBreak/>
        <w:t xml:space="preserve">Financial assets measured at amortised cost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the county council’s business model is to hold investments to collect contractual cash flows, the financial assets are classified as amortised cost.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contractual terms of the financial asset give rise on specified dates to cash flows that are solely payments of principal and interest on the principal amount outstanding.</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They are initially measured at fair value and are subsequently measured at their amortised cost.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Annual credits to the financing and investment income and expenditure line in the comprehensive income and expenditure statement for interest receivable are based on the carrying amount of the asset multiplied by the effective rate of interest for the instrument.  For most of the financial assets held by the county council, this means that the amount presented in the balance sheet is the outstanding principal receivable plus accrued interest. Interest credited to the comprehensive income and expenditure statement is the amount receivable for the year in the loan agreement.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autoSpaceDE w:val="0"/>
        <w:autoSpaceDN w:val="0"/>
        <w:adjustRightInd w:val="0"/>
        <w:jc w:val="both"/>
        <w:rPr>
          <w:rFonts w:asciiTheme="minorHAnsi" w:eastAsia="Arial Unicode MS" w:hAnsiTheme="minorHAnsi" w:cstheme="minorHAnsi"/>
          <w:color w:val="000000"/>
          <w:lang w:eastAsia="en-GB"/>
        </w:rPr>
      </w:pPr>
      <w:r w:rsidRPr="00C8030F">
        <w:rPr>
          <w:rFonts w:asciiTheme="minorHAnsi" w:eastAsia="Arial Unicode MS" w:hAnsiTheme="minorHAnsi" w:cstheme="minorHAnsi"/>
          <w:lang w:eastAsia="en-GB"/>
        </w:rPr>
        <w:t>There is no recognition of gains or losses on fair value until reclassification or de-recognition of the asset.  Any gains or losses that arise on the de-recognition of the asset are charged to the financing and investment income and expenditure line in the comprehensive income and expenditure statement.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Financial assets measured at fair value through other comprehensive income (FVOCI)</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county council also holds investments with the objective of collecting contractual cash flows and selling assets in order to meet long term investment requirements while ensuring the county council is not subject to a high degree of credit risk.  These assets are measured and carried at fair value.  Interest is recognised in the comprehensive income and expenditure </w:t>
      </w:r>
      <w:r w:rsidRPr="00C8030F">
        <w:rPr>
          <w:rFonts w:asciiTheme="minorHAnsi" w:eastAsia="Arial Unicode MS" w:hAnsiTheme="minorHAnsi" w:cstheme="minorHAnsi"/>
        </w:rPr>
        <w:t>statement on the same basis as for amortised cost financial assets, as described above.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All gains or losses due to changes in the fair value of the assets (both realised and unrealised) are charged to the other comprehensive income and expenditure line in the comprehensive income and expenditure statement and balanced by an entry in the financial instruments revaluation reserve.</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Any gains or losses that arise on the de-recognition of the asset are charged to the financing and investment income and expenditure line in the comprehensive income and expenditure statement, along with any accumulated gains or losses previously recognised in the financial instruments revaluation reserve.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 xml:space="preserve">Financial assets measured at fair value through profit of loss (FVPL)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These assets are measured and carried at fair value.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All gains and losses due to changes</w:t>
      </w:r>
      <w:r w:rsidRPr="00C8030F">
        <w:rPr>
          <w:rFonts w:asciiTheme="minorHAnsi" w:hAnsiTheme="minorHAnsi" w:cstheme="minorHAnsi"/>
        </w:rPr>
        <w:t xml:space="preserve"> in </w:t>
      </w:r>
      <w:r w:rsidRPr="00C8030F">
        <w:rPr>
          <w:rFonts w:asciiTheme="minorHAnsi" w:eastAsia="Arial Unicode MS" w:hAnsiTheme="minorHAnsi" w:cstheme="minorHAnsi"/>
        </w:rPr>
        <w:t>fair value are charged to the financing and investment income and expenditure line in the comprehensive income and expenditure statement as they arise.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 xml:space="preserve">Expected credit loss model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county council recognises expected credit losses on its financial assets held at amortised cost or FVOCI, (subject to materiality) either on a 12-month or lifetime basis.  </w:t>
      </w:r>
    </w:p>
    <w:p w:rsidR="003608C7" w:rsidRPr="00C8030F" w:rsidRDefault="00BA7D94" w:rsidP="003608C7">
      <w:pPr>
        <w:jc w:val="both"/>
        <w:rPr>
          <w:rFonts w:asciiTheme="minorHAnsi" w:eastAsia="Arial Unicode MS" w:hAnsiTheme="minorHAnsi" w:cstheme="minorHAnsi"/>
          <w: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risk has increased significantly since an instrument was initially recognised, losses are assessed on a lifetime basis.  Where risk has not increased significantly or remains low, losses are assessed on the basis of 12-month expected losses.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Lifetime losses are recognised for trade receivables (debtors) held by the county council.</w:t>
      </w: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lastRenderedPageBreak/>
        <w:t>Financial liabilities</w:t>
      </w:r>
      <w:bookmarkStart w:id="0" w:name="_GoBack"/>
      <w:bookmarkEnd w:id="0"/>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Financial liabilities are initially recognised on the balance sheet at fair value and carried at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amount presented in the balance sheet is the outstanding principal repayable plus accrued interest.  Interest charged to the comprehensive income and expenditure statement is the amount payable for the year according to the loan agreement.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Gains and losses on the repurchase or early settlement of borrowing are credited and debited to the financing and investment income and expenditure line in the comprehensive income and expenditure statement, in the year of repurchase or settlement.  Where premiums and discounts are charged to the comprehensive income and expenditure statement, regulations allow the impact on the general fund balance to be spread over future years.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reconciliation of amounts charged to the comprehensive income and expenditure statement to the net charge required against the general fund balance is managed by a transfer to or from the financial instruments adjustment account in the movement in reserves statement. </w:t>
      </w:r>
    </w:p>
    <w:p w:rsidR="003608C7" w:rsidRDefault="00BA7D94" w:rsidP="003608C7">
      <w:pPr>
        <w:jc w:val="both"/>
        <w:rPr>
          <w:rFonts w:asciiTheme="minorHAnsi"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Property, plant and equipment</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Recognition</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Expenditure on the acquisition, creation or enhancement of property, plant and equipment is capitalised on an accruals basis, provided that it is probable that the future economic benefits or service potential associated </w:t>
      </w:r>
      <w:r w:rsidRPr="00C8030F">
        <w:rPr>
          <w:rFonts w:asciiTheme="minorHAnsi" w:eastAsia="Arial Unicode MS" w:hAnsiTheme="minorHAnsi" w:cstheme="minorHAnsi"/>
        </w:rPr>
        <w:t>with the item will flow to the council and, the cost of the item can be measured reliably.  Expenditure that maintains but does not add to an asset's potential to deliver future economic benefits or service potential (i.e. repairs and maintenance) is charged as a revenue expense when it is incurred.</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Property, plant and equipment is recognised where the initial cost or value exceeds £10,000.</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Measurement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Assets are initially recognised at cost, comprising:</w:t>
      </w:r>
    </w:p>
    <w:p w:rsidR="003608C7" w:rsidRPr="00C8030F" w:rsidRDefault="00E11D58" w:rsidP="003608C7">
      <w:pPr>
        <w:numPr>
          <w:ilvl w:val="0"/>
          <w:numId w:val="2"/>
        </w:numPr>
        <w:jc w:val="both"/>
        <w:rPr>
          <w:rFonts w:asciiTheme="minorHAnsi" w:eastAsia="Arial Unicode MS" w:hAnsiTheme="minorHAnsi" w:cstheme="minorHAnsi"/>
        </w:rPr>
      </w:pPr>
      <w:r w:rsidRPr="00C8030F">
        <w:rPr>
          <w:rFonts w:asciiTheme="minorHAnsi" w:eastAsia="Arial Unicode MS" w:hAnsiTheme="minorHAnsi" w:cstheme="minorHAnsi"/>
        </w:rPr>
        <w:t>The purchase price;</w:t>
      </w:r>
    </w:p>
    <w:p w:rsidR="003608C7" w:rsidRPr="00C8030F" w:rsidRDefault="00E11D58" w:rsidP="003608C7">
      <w:pPr>
        <w:numPr>
          <w:ilvl w:val="0"/>
          <w:numId w:val="2"/>
        </w:numPr>
        <w:jc w:val="both"/>
        <w:rPr>
          <w:rFonts w:asciiTheme="minorHAnsi" w:eastAsia="Arial Unicode MS" w:hAnsiTheme="minorHAnsi" w:cstheme="minorHAnsi"/>
        </w:rPr>
      </w:pPr>
      <w:r w:rsidRPr="00C8030F">
        <w:rPr>
          <w:rFonts w:asciiTheme="minorHAnsi" w:eastAsia="Arial Unicode MS" w:hAnsiTheme="minorHAnsi" w:cstheme="minorHAnsi"/>
        </w:rPr>
        <w:t>Any costs attributable to bringing the asset to the location and condition necessary for it to be capable of operating in the manner intended by management;</w:t>
      </w:r>
    </w:p>
    <w:p w:rsidR="003608C7" w:rsidRPr="00C8030F" w:rsidRDefault="00E11D58" w:rsidP="003608C7">
      <w:pPr>
        <w:numPr>
          <w:ilvl w:val="0"/>
          <w:numId w:val="2"/>
        </w:numPr>
        <w:jc w:val="both"/>
        <w:rPr>
          <w:rFonts w:asciiTheme="minorHAnsi" w:eastAsia="Arial Unicode MS" w:hAnsiTheme="minorHAnsi" w:cstheme="minorHAnsi"/>
        </w:rPr>
      </w:pPr>
      <w:r w:rsidRPr="00C8030F">
        <w:rPr>
          <w:rFonts w:asciiTheme="minorHAnsi" w:eastAsia="Arial Unicode MS" w:hAnsiTheme="minorHAnsi" w:cstheme="minorHAnsi"/>
        </w:rPr>
        <w:t>The initial estimate of the costs of dismantling and removing the item and restoring the site on which it is located.</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Donated assets are measured initially at fair value.  The difference between fair value and any consideration paid is credited to the taxation and non-specific grant income and expenditure line of the comprehensive income and expenditure statement.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gains are credited to the comprehensive income and expenditure statement, they are reversed out of the general fund balance to the capital adjustment account in the movement in reserves statement.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Assets are then carried in the balance sheet using the following measurement bases:</w:t>
      </w:r>
    </w:p>
    <w:tbl>
      <w:tblPr>
        <w:tblW w:w="7443"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4111"/>
        <w:gridCol w:w="3332"/>
      </w:tblGrid>
      <w:tr w:rsidR="00CA5112" w:rsidTr="0029033C">
        <w:trPr>
          <w:trHeight w:val="255"/>
        </w:trPr>
        <w:tc>
          <w:tcPr>
            <w:tcW w:w="4111" w:type="dxa"/>
            <w:shd w:val="clear" w:color="auto" w:fill="E7E6E6" w:themeFill="background2"/>
          </w:tcPr>
          <w:p w:rsidR="003608C7" w:rsidRPr="00C8030F" w:rsidRDefault="00E11D58" w:rsidP="0029033C">
            <w:pPr>
              <w:jc w:val="both"/>
              <w:rPr>
                <w:rFonts w:asciiTheme="minorHAnsi" w:eastAsia="Arial Unicode MS" w:hAnsiTheme="minorHAnsi" w:cstheme="minorHAnsi"/>
                <w:b/>
                <w:sz w:val="22"/>
              </w:rPr>
            </w:pPr>
            <w:r w:rsidRPr="00C8030F">
              <w:rPr>
                <w:rFonts w:asciiTheme="minorHAnsi" w:eastAsia="Arial Unicode MS" w:hAnsiTheme="minorHAnsi" w:cstheme="minorHAnsi"/>
                <w:b/>
                <w:sz w:val="22"/>
              </w:rPr>
              <w:t>Category</w:t>
            </w:r>
          </w:p>
        </w:tc>
        <w:tc>
          <w:tcPr>
            <w:tcW w:w="3332" w:type="dxa"/>
            <w:shd w:val="clear" w:color="auto" w:fill="E7E6E6" w:themeFill="background2"/>
          </w:tcPr>
          <w:p w:rsidR="003608C7" w:rsidRPr="00C8030F" w:rsidRDefault="00E11D58" w:rsidP="0029033C">
            <w:pPr>
              <w:jc w:val="both"/>
              <w:rPr>
                <w:rFonts w:asciiTheme="minorHAnsi" w:eastAsia="Arial Unicode MS" w:hAnsiTheme="minorHAnsi" w:cstheme="minorHAnsi"/>
                <w:b/>
                <w:sz w:val="22"/>
              </w:rPr>
            </w:pPr>
            <w:r w:rsidRPr="00C8030F">
              <w:rPr>
                <w:rFonts w:asciiTheme="minorHAnsi" w:eastAsia="Arial Unicode MS" w:hAnsiTheme="minorHAnsi" w:cstheme="minorHAnsi"/>
                <w:b/>
                <w:sz w:val="22"/>
              </w:rPr>
              <w:t>Measurement basis</w:t>
            </w:r>
          </w:p>
        </w:tc>
      </w:tr>
      <w:tr w:rsidR="00CA5112" w:rsidTr="0029033C">
        <w:trPr>
          <w:trHeight w:val="255"/>
        </w:trPr>
        <w:tc>
          <w:tcPr>
            <w:tcW w:w="4111"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Infrastructure, community assets, assets under construction</w:t>
            </w:r>
          </w:p>
        </w:tc>
        <w:tc>
          <w:tcPr>
            <w:tcW w:w="3332"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Depreciated historical cost</w:t>
            </w:r>
          </w:p>
        </w:tc>
      </w:tr>
      <w:tr w:rsidR="00CA5112" w:rsidTr="0029033C">
        <w:trPr>
          <w:trHeight w:val="255"/>
        </w:trPr>
        <w:tc>
          <w:tcPr>
            <w:tcW w:w="4111"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Surplus assets and investment properties</w:t>
            </w:r>
          </w:p>
        </w:tc>
        <w:tc>
          <w:tcPr>
            <w:tcW w:w="3332"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Fair value – highest and best</w:t>
            </w:r>
          </w:p>
        </w:tc>
      </w:tr>
      <w:tr w:rsidR="00CA5112" w:rsidTr="0029033C">
        <w:trPr>
          <w:trHeight w:val="255"/>
        </w:trPr>
        <w:tc>
          <w:tcPr>
            <w:tcW w:w="4111"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Operational property, plant and equipment</w:t>
            </w:r>
          </w:p>
        </w:tc>
        <w:tc>
          <w:tcPr>
            <w:tcW w:w="3332"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Current value - existing use value</w:t>
            </w:r>
          </w:p>
        </w:tc>
      </w:tr>
    </w:tbl>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Where there is no market-based evidence of current value because of the specialist nature of an asset, depreciated replacement cost (DRC) is used as an estimate of current value.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For non-property assets, principally furniture and equipment, that have short useful lives or low values (or both), depreciated historical cost basis is used as a proxy for fair value.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Assets are revalued sufficiently regularly to ensure that their carrying amount is not materially different from their current value at the year-end but as a minimum every three years.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Valuations are undertaken internally by Lancashire County Council's estates service with valuations for specialist operational properties undertaken by external professional valuers.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Valuations are provided as at 1 April and are undertaken by qualified valuers in accordance with the Royal Institute of Chartered Surveyors (RICS) professional standards using recognised measurement techniques.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lang w:eastAsia="en-GB"/>
        </w:rPr>
      </w:pPr>
      <w:r w:rsidRPr="00C8030F">
        <w:rPr>
          <w:rFonts w:asciiTheme="minorHAnsi" w:eastAsia="Arial Unicode MS" w:hAnsiTheme="minorHAnsi" w:cstheme="minorHAnsi"/>
          <w:color w:val="CC0066"/>
          <w:sz w:val="28"/>
          <w:lang w:eastAsia="en-GB"/>
        </w:rPr>
        <w:t>Revaluation gains and losses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Increases in valuations are matched by credits to the revaluation reserve to recognise unrealised gains, unless the gain reverses a loss previously charged to a service.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decreases in value are identified, they are accounted for as follows:</w:t>
      </w:r>
    </w:p>
    <w:p w:rsidR="003608C7" w:rsidRPr="00C8030F" w:rsidRDefault="00E11D58" w:rsidP="003608C7">
      <w:pPr>
        <w:numPr>
          <w:ilvl w:val="0"/>
          <w:numId w:val="3"/>
        </w:numPr>
        <w:jc w:val="both"/>
        <w:rPr>
          <w:rFonts w:asciiTheme="minorHAnsi" w:eastAsia="Arial Unicode MS" w:hAnsiTheme="minorHAnsi" w:cstheme="minorHAnsi"/>
        </w:rPr>
      </w:pPr>
      <w:r w:rsidRPr="00C8030F">
        <w:rPr>
          <w:rFonts w:asciiTheme="minorHAnsi" w:eastAsia="Arial Unicode MS" w:hAnsiTheme="minorHAnsi" w:cstheme="minorHAnsi"/>
        </w:rPr>
        <w:t>Where there is a balance of revaluation gains for the asset in the revaluation reserve, the carrying amount of the asset is written down against that balance (up to the amount of the accumulated gains).</w:t>
      </w:r>
    </w:p>
    <w:p w:rsidR="003608C7" w:rsidRPr="00C8030F" w:rsidRDefault="00E11D58" w:rsidP="003608C7">
      <w:pPr>
        <w:numPr>
          <w:ilvl w:val="0"/>
          <w:numId w:val="3"/>
        </w:numPr>
        <w:jc w:val="both"/>
        <w:rPr>
          <w:rFonts w:asciiTheme="minorHAnsi" w:eastAsia="Arial Unicode MS" w:hAnsiTheme="minorHAnsi" w:cstheme="minorHAnsi"/>
        </w:rPr>
      </w:pPr>
      <w:r w:rsidRPr="00C8030F">
        <w:rPr>
          <w:rFonts w:asciiTheme="minorHAnsi" w:eastAsia="Arial Unicode MS" w:hAnsiTheme="minorHAnsi" w:cstheme="minorHAnsi"/>
        </w:rPr>
        <w:t>Where there is no balance in the revaluation reserve or an insufficient balance, the carrying amount of the asset is written down against the relevant service line in the comprehensive income and expenditure statement.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revaluation reserve contains revaluation gains recognised since 1 April 2007 only, the date of its formal implementation.  Gains arising before that date have been consolidated into the capital adjustment account.</w:t>
      </w:r>
    </w:p>
    <w:p w:rsidR="003608C7" w:rsidRPr="00C8030F" w:rsidRDefault="00BA7D94" w:rsidP="003608C7">
      <w:pPr>
        <w:jc w:val="both"/>
        <w:rPr>
          <w:rFonts w:asciiTheme="minorHAnsi" w:eastAsia="Arial Unicode MS" w:hAnsiTheme="minorHAnsi" w:cstheme="minorHAnsi"/>
          <w:sz w:val="20"/>
        </w:rPr>
      </w:pPr>
    </w:p>
    <w:p w:rsidR="003608C7" w:rsidRPr="00C8030F" w:rsidRDefault="00E11D58" w:rsidP="003608C7">
      <w:pPr>
        <w:jc w:val="both"/>
        <w:rPr>
          <w:rFonts w:asciiTheme="minorHAnsi" w:eastAsia="Arial Unicode MS" w:hAnsiTheme="minorHAnsi" w:cstheme="minorHAnsi"/>
          <w:color w:val="CC0066"/>
          <w:sz w:val="28"/>
          <w:lang w:eastAsia="en-GB"/>
        </w:rPr>
      </w:pPr>
      <w:r w:rsidRPr="00C8030F">
        <w:rPr>
          <w:rFonts w:asciiTheme="minorHAnsi" w:eastAsia="Arial Unicode MS" w:hAnsiTheme="minorHAnsi" w:cstheme="minorHAnsi"/>
          <w:color w:val="CC0066"/>
          <w:sz w:val="28"/>
          <w:lang w:eastAsia="en-GB"/>
        </w:rPr>
        <w:t>Depreciation</w:t>
      </w:r>
    </w:p>
    <w:p w:rsidR="003608C7" w:rsidRPr="00C8030F" w:rsidRDefault="00BA7D94" w:rsidP="003608C7">
      <w:pPr>
        <w:jc w:val="both"/>
        <w:rPr>
          <w:rFonts w:asciiTheme="minorHAnsi" w:eastAsia="Arial Unicode MS" w:hAnsiTheme="minorHAnsi" w:cstheme="minorHAnsi"/>
          <w:sz w:val="20"/>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Depreciation is an accounting estimate used to charge the cost of an asset to services over its useful economic life.</w:t>
      </w:r>
    </w:p>
    <w:p w:rsidR="003608C7" w:rsidRPr="00C8030F" w:rsidRDefault="00BA7D94" w:rsidP="003608C7">
      <w:pPr>
        <w:jc w:val="both"/>
        <w:rPr>
          <w:rFonts w:asciiTheme="minorHAnsi" w:eastAsia="Arial Unicode MS" w:hAnsiTheme="minorHAnsi" w:cstheme="minorHAnsi"/>
          <w:sz w:val="20"/>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Depreciation is calculated on the following bases:</w:t>
      </w:r>
    </w:p>
    <w:tbl>
      <w:tblPr>
        <w:tblW w:w="7408"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2506"/>
        <w:gridCol w:w="4902"/>
      </w:tblGrid>
      <w:tr w:rsidR="00CA5112" w:rsidTr="0029033C">
        <w:trPr>
          <w:trHeight w:val="88"/>
        </w:trPr>
        <w:tc>
          <w:tcPr>
            <w:tcW w:w="2506" w:type="dxa"/>
            <w:shd w:val="clear" w:color="auto" w:fill="E7E6E6" w:themeFill="background2"/>
          </w:tcPr>
          <w:p w:rsidR="003608C7" w:rsidRPr="00C8030F" w:rsidRDefault="00E11D58" w:rsidP="0029033C">
            <w:pPr>
              <w:jc w:val="both"/>
              <w:rPr>
                <w:rFonts w:asciiTheme="minorHAnsi" w:eastAsia="Arial Unicode MS" w:hAnsiTheme="minorHAnsi" w:cstheme="minorHAnsi"/>
                <w:b/>
                <w:sz w:val="22"/>
              </w:rPr>
            </w:pPr>
            <w:r w:rsidRPr="00C8030F">
              <w:rPr>
                <w:rFonts w:asciiTheme="minorHAnsi" w:eastAsia="Arial Unicode MS" w:hAnsiTheme="minorHAnsi" w:cstheme="minorHAnsi"/>
                <w:b/>
                <w:sz w:val="22"/>
              </w:rPr>
              <w:t>Category</w:t>
            </w:r>
          </w:p>
        </w:tc>
        <w:tc>
          <w:tcPr>
            <w:tcW w:w="4902" w:type="dxa"/>
            <w:shd w:val="clear" w:color="auto" w:fill="E7E6E6" w:themeFill="background2"/>
          </w:tcPr>
          <w:p w:rsidR="003608C7" w:rsidRPr="00C8030F" w:rsidRDefault="00E11D58" w:rsidP="0029033C">
            <w:pPr>
              <w:jc w:val="both"/>
              <w:rPr>
                <w:rFonts w:asciiTheme="minorHAnsi" w:eastAsia="Arial Unicode MS" w:hAnsiTheme="minorHAnsi" w:cstheme="minorHAnsi"/>
                <w:b/>
                <w:sz w:val="22"/>
              </w:rPr>
            </w:pPr>
            <w:r w:rsidRPr="00C8030F">
              <w:rPr>
                <w:rFonts w:asciiTheme="minorHAnsi" w:eastAsia="Arial Unicode MS" w:hAnsiTheme="minorHAnsi" w:cstheme="minorHAnsi"/>
                <w:b/>
                <w:sz w:val="22"/>
              </w:rPr>
              <w:t>Period over which assets are depreciated</w:t>
            </w:r>
          </w:p>
        </w:tc>
      </w:tr>
      <w:tr w:rsidR="00CA5112" w:rsidTr="0029033C">
        <w:trPr>
          <w:trHeight w:val="88"/>
        </w:trPr>
        <w:tc>
          <w:tcPr>
            <w:tcW w:w="2506"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Buildings</w:t>
            </w:r>
          </w:p>
        </w:tc>
        <w:tc>
          <w:tcPr>
            <w:tcW w:w="4902"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5-50 years depending upon the nature of the asset</w:t>
            </w:r>
          </w:p>
        </w:tc>
      </w:tr>
      <w:tr w:rsidR="00CA5112" w:rsidTr="0029033C">
        <w:trPr>
          <w:trHeight w:val="88"/>
        </w:trPr>
        <w:tc>
          <w:tcPr>
            <w:tcW w:w="2506" w:type="dxa"/>
          </w:tcPr>
          <w:p w:rsidR="003608C7" w:rsidRPr="00C8030F" w:rsidRDefault="00E11D58" w:rsidP="0029033C">
            <w:pPr>
              <w:rPr>
                <w:rFonts w:asciiTheme="minorHAnsi" w:eastAsia="Arial Unicode MS" w:hAnsiTheme="minorHAnsi" w:cstheme="minorHAnsi"/>
                <w:sz w:val="22"/>
              </w:rPr>
            </w:pPr>
            <w:r w:rsidRPr="00C8030F">
              <w:rPr>
                <w:rFonts w:asciiTheme="minorHAnsi" w:eastAsia="Arial Unicode MS" w:hAnsiTheme="minorHAnsi" w:cstheme="minorHAnsi"/>
                <w:sz w:val="22"/>
              </w:rPr>
              <w:t>Vehicles, plant and equipment</w:t>
            </w:r>
          </w:p>
        </w:tc>
        <w:tc>
          <w:tcPr>
            <w:tcW w:w="4902"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10 years unless the life of the asset is considered to be less</w:t>
            </w:r>
          </w:p>
        </w:tc>
      </w:tr>
      <w:tr w:rsidR="00CA5112" w:rsidTr="0029033C">
        <w:trPr>
          <w:trHeight w:val="88"/>
        </w:trPr>
        <w:tc>
          <w:tcPr>
            <w:tcW w:w="2506"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IT equipment</w:t>
            </w:r>
          </w:p>
        </w:tc>
        <w:tc>
          <w:tcPr>
            <w:tcW w:w="4902"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7-10 years depending upon the nature of the asset</w:t>
            </w:r>
          </w:p>
        </w:tc>
      </w:tr>
      <w:tr w:rsidR="00CA5112" w:rsidTr="0029033C">
        <w:trPr>
          <w:trHeight w:val="88"/>
        </w:trPr>
        <w:tc>
          <w:tcPr>
            <w:tcW w:w="2506"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Roads and highways infrastructure</w:t>
            </w:r>
          </w:p>
        </w:tc>
        <w:tc>
          <w:tcPr>
            <w:tcW w:w="4902" w:type="dxa"/>
          </w:tcPr>
          <w:p w:rsidR="003608C7" w:rsidRPr="00C8030F" w:rsidRDefault="00E11D58"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10-120 years depending upon the nature of the asset</w:t>
            </w:r>
          </w:p>
        </w:tc>
      </w:tr>
    </w:tbl>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Depreciation is not charged on land, community or heritage assets, as they do not have a determinable finite useful life.  Assets under construction are not depreciated until they are available for use.  Assets held for sale and investment properties are revalued every year and therefore depreciation is not charged on these assets.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Depreciation is calculated on a straight-line basis meaning that the asset's value reduces equally each year over its life.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Depreciation is charged from the month of acquisition until the month of disposal.  </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Depreciation is generally charged on buildings as a single asset.  However, where an asset has major components whose cost is significant in relation to the overall cost of the asset, and the lifetime of the component is significantly shorter than that of the asset, the major component is depreciated separately.</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Impairment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impairment losses are identified, they are accounted for the same was as revaluation losses.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lang w:eastAsia="en-GB"/>
        </w:rPr>
      </w:pPr>
      <w:r w:rsidRPr="00C8030F">
        <w:rPr>
          <w:rFonts w:asciiTheme="minorHAnsi" w:eastAsia="Arial Unicode MS" w:hAnsiTheme="minorHAnsi" w:cstheme="minorHAnsi"/>
          <w:color w:val="CC0066"/>
          <w:sz w:val="28"/>
          <w:lang w:eastAsia="en-GB"/>
        </w:rPr>
        <w:t>Minimum revenue provision</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is not required to raise council tax to fund depreciation, revaluation and impairment losses or amortisations.  However, it is required to make an annual charge to revenue towards the reduction in its</w:t>
      </w:r>
      <w:r w:rsidRPr="00C8030F">
        <w:rPr>
          <w:rFonts w:asciiTheme="minorHAnsi" w:hAnsiTheme="minorHAnsi" w:cstheme="minorHAnsi"/>
        </w:rPr>
        <w:t xml:space="preserve"> overall borrowing requirement, which is calculated on a prudent basis determined in accordance with statutory guidance.  This contribution is known as the minimum revenue provision (MRP).  </w:t>
      </w:r>
      <w:r w:rsidRPr="00C8030F">
        <w:rPr>
          <w:rFonts w:asciiTheme="minorHAnsi" w:eastAsia="Arial Unicode MS" w:hAnsiTheme="minorHAnsi" w:cstheme="minorHAnsi"/>
        </w:rPr>
        <w:t>Depreciation, revaluation and impairment losses and amortisations are replaced by the MRP in the earmarked reserves balance, by way of an adjusting transaction with the capital adjustment account in the movement in reserves statement, for the difference between the two.</w:t>
      </w:r>
    </w:p>
    <w:p w:rsidR="00B8062F" w:rsidRPr="00C8030F" w:rsidRDefault="00B8062F"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lang w:eastAsia="en-GB"/>
        </w:rPr>
        <w:t>Non</w:t>
      </w:r>
      <w:r w:rsidRPr="00C8030F">
        <w:rPr>
          <w:rFonts w:asciiTheme="minorHAnsi" w:eastAsia="Arial Unicode MS" w:hAnsiTheme="minorHAnsi" w:cstheme="minorHAnsi"/>
          <w:color w:val="CC0066"/>
          <w:sz w:val="28"/>
        </w:rPr>
        <w:t>-current assets held for sale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it is highly probable that property assets </w:t>
      </w:r>
      <w:r w:rsidRPr="00C8030F">
        <w:rPr>
          <w:rFonts w:asciiTheme="minorHAnsi" w:hAnsiTheme="minorHAnsi" w:cstheme="minorHAnsi"/>
        </w:rPr>
        <w:t xml:space="preserve">will be </w:t>
      </w:r>
      <w:r w:rsidRPr="00C8030F">
        <w:rPr>
          <w:rFonts w:asciiTheme="minorHAnsi" w:eastAsia="Arial Unicode MS" w:hAnsiTheme="minorHAnsi" w:cstheme="minorHAnsi"/>
        </w:rPr>
        <w:t xml:space="preserve">disposed of </w:t>
      </w:r>
      <w:r w:rsidRPr="00C8030F">
        <w:rPr>
          <w:rFonts w:asciiTheme="minorHAnsi" w:hAnsiTheme="minorHAnsi" w:cstheme="minorHAnsi"/>
        </w:rPr>
        <w:t xml:space="preserve">within the </w:t>
      </w:r>
      <w:r w:rsidRPr="00C8030F">
        <w:rPr>
          <w:rFonts w:asciiTheme="minorHAnsi" w:eastAsia="Arial Unicode MS" w:hAnsiTheme="minorHAnsi" w:cstheme="minorHAnsi"/>
        </w:rPr>
        <w:t>next 12 months the asset</w:t>
      </w:r>
      <w:r w:rsidRPr="00C8030F">
        <w:rPr>
          <w:rFonts w:asciiTheme="minorHAnsi" w:hAnsiTheme="minorHAnsi" w:cstheme="minorHAnsi"/>
        </w:rPr>
        <w:t xml:space="preserve"> is reclassified as </w:t>
      </w:r>
      <w:r w:rsidRPr="00C8030F">
        <w:rPr>
          <w:rFonts w:asciiTheme="minorHAnsi" w:eastAsia="Arial Unicode MS" w:hAnsiTheme="minorHAnsi" w:cstheme="minorHAnsi"/>
        </w:rPr>
        <w:t>assets</w:t>
      </w:r>
      <w:r w:rsidRPr="00C8030F">
        <w:rPr>
          <w:rFonts w:asciiTheme="minorHAnsi" w:hAnsiTheme="minorHAnsi" w:cstheme="minorHAnsi"/>
        </w:rPr>
        <w:t xml:space="preserve"> held for sale.</w:t>
      </w:r>
      <w:r w:rsidRPr="00C8030F">
        <w:rPr>
          <w:rFonts w:asciiTheme="minorHAnsi" w:eastAsia="Arial Unicode MS" w:hAnsiTheme="minorHAnsi" w:cstheme="minorHAnsi"/>
        </w:rPr>
        <w:t xml:space="preserve">   Depreciation is not charged on assets held for sale.</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If assets no longer meet the criteria to be classified as assets held for sale, they are reclassified back to non-current assets and valued at the lower of:</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numPr>
          <w:ilvl w:val="0"/>
          <w:numId w:val="4"/>
        </w:numPr>
        <w:spacing w:line="259" w:lineRule="auto"/>
        <w:ind w:left="714" w:hanging="357"/>
        <w:jc w:val="both"/>
        <w:rPr>
          <w:rFonts w:asciiTheme="minorHAnsi" w:eastAsia="Arial Unicode MS" w:hAnsiTheme="minorHAnsi" w:cstheme="minorHAnsi"/>
        </w:rPr>
      </w:pPr>
      <w:r w:rsidRPr="00C8030F">
        <w:rPr>
          <w:rFonts w:asciiTheme="minorHAnsi" w:eastAsia="Arial Unicode MS" w:hAnsiTheme="minorHAnsi" w:cstheme="minorHAnsi"/>
        </w:rPr>
        <w:t>Their carrying amount before they were classified as held for sale.  In this case the carrying amount is adjusted for depreciation, amortisation or revaluations that would have been recognised had they not been classified as held for sale.</w:t>
      </w:r>
    </w:p>
    <w:p w:rsidR="003608C7" w:rsidRPr="00C8030F" w:rsidRDefault="00E11D58" w:rsidP="003608C7">
      <w:pPr>
        <w:numPr>
          <w:ilvl w:val="0"/>
          <w:numId w:val="4"/>
        </w:numPr>
        <w:spacing w:line="259" w:lineRule="auto"/>
        <w:ind w:left="714" w:hanging="357"/>
        <w:jc w:val="both"/>
        <w:rPr>
          <w:rFonts w:asciiTheme="minorHAnsi" w:eastAsia="Arial Unicode MS" w:hAnsiTheme="minorHAnsi" w:cstheme="minorHAnsi"/>
        </w:rPr>
      </w:pPr>
      <w:r w:rsidRPr="00C8030F">
        <w:rPr>
          <w:rFonts w:asciiTheme="minorHAnsi" w:eastAsia="Arial Unicode MS" w:hAnsiTheme="minorHAnsi" w:cstheme="minorHAnsi"/>
        </w:rPr>
        <w:t>Their recoverable amount at the date of the decision not to sell.</w:t>
      </w:r>
    </w:p>
    <w:p w:rsidR="003608C7" w:rsidRPr="00C8030F" w:rsidRDefault="00BA7D94" w:rsidP="003608C7">
      <w:pPr>
        <w:jc w:val="both"/>
        <w:rPr>
          <w:rFonts w:asciiTheme="minorHAnsi" w:eastAsia="Arial Unicode MS" w:hAnsiTheme="minorHAnsi" w:cstheme="minorHAnsi"/>
          <w:color w:val="CC0066"/>
          <w:u w:val="single"/>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color w:val="CC0066"/>
          <w:sz w:val="28"/>
          <w:lang w:eastAsia="en-GB"/>
        </w:rPr>
        <w:t>Disposal of assets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When an asset is disposed of, the carrying amount of the asset in the balance sheet is written off to the other operating expenditure line in the comprehensive income and expenditure statement, as part of the gain or loss on disposal.  Receipts from disposal are credited to the same line in the comprehensive income and expenditure statement as part of the gain or loss on disposal.  Any revaluation gains accumulated for the asset in the revaluation reserve are transferred to the capital adjustment account.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net loss or gain on disposal is not a charge against council tax, as the cost of property, plant and equipment is fully provided for under separate arrangements for capital financing.  The gains and losses are therefore reversed out of the general fund in the movement in reserves statement and posted to the capital adjustment account (for any sale proceeds greater than £10,000) the capital receipts reserve.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Capital receipts can only be used to fund new capital investment or, be set aside to reduce the council's underlying need to borrow (the capital financing requirement).  However, the flexible use of capital receipts allows revenue expenditure to be funded from capital receipts where it generates ongoing revenue savings or transforms service delivery to reduce costs.</w:t>
      </w:r>
    </w:p>
    <w:p w:rsidR="003608C7" w:rsidRDefault="00BA7D94" w:rsidP="003608C7">
      <w:pPr>
        <w:jc w:val="both"/>
        <w:rPr>
          <w:rFonts w:asciiTheme="minorHAnsi" w:eastAsia="Arial Unicode MS" w:hAnsiTheme="minorHAnsi" w:cstheme="minorHAnsi"/>
        </w:rPr>
      </w:pPr>
    </w:p>
    <w:p w:rsidR="00B8062F" w:rsidRDefault="00B8062F" w:rsidP="003608C7">
      <w:pPr>
        <w:jc w:val="both"/>
        <w:rPr>
          <w:rFonts w:asciiTheme="minorHAnsi" w:eastAsia="Arial Unicode MS" w:hAnsiTheme="minorHAnsi" w:cstheme="minorHAnsi"/>
        </w:rPr>
      </w:pPr>
    </w:p>
    <w:p w:rsidR="00B8062F" w:rsidRPr="00C8030F" w:rsidRDefault="00B8062F"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lastRenderedPageBreak/>
        <w:t>Heritage assets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Heritage assets are assets with historical, artistic, scientific, technological, geophysical or environmental qualities that are held and maintained principally for their contribution to knowledge and culture.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collection has an indeterminate life and is subject to appropriate conservation measures, therefore, depreciation is not charged on heritage assets.</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valuation of the county council's heritage assets has included a degree of estimation.  With respect to the museum's collection, those assets considered to have a value of £50,000 or over have been identified and valued as separate items.  The rest of the collection involves a large quantity of small value items for which is not considered economic to value each item separately.  Therefore, a sample of items was valued by the museums staff.  The resulting value was then used to give an estimated value of the whole collection.  It is considered that the result provides a fair reflection of the value of the county council's holding.</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The county</w:t>
      </w:r>
      <w:r w:rsidRPr="00C8030F">
        <w:rPr>
          <w:rFonts w:asciiTheme="minorHAnsi" w:hAnsiTheme="minorHAnsi" w:cstheme="minorHAnsi"/>
        </w:rPr>
        <w:t xml:space="preserve"> </w:t>
      </w:r>
      <w:r w:rsidRPr="00C8030F">
        <w:rPr>
          <w:rFonts w:asciiTheme="minorHAnsi" w:eastAsia="Arial Unicode MS" w:hAnsiTheme="minorHAnsi" w:cstheme="minorHAnsi"/>
        </w:rPr>
        <w:t>council</w:t>
      </w:r>
      <w:r w:rsidRPr="00C8030F">
        <w:rPr>
          <w:rFonts w:asciiTheme="minorHAnsi" w:hAnsiTheme="minorHAnsi" w:cstheme="minorHAnsi"/>
        </w:rPr>
        <w:t xml:space="preserve"> has a detailed acquisitions and disposal policy, further information on which can be obtained from the </w:t>
      </w:r>
      <w:r w:rsidRPr="00C8030F">
        <w:rPr>
          <w:rFonts w:asciiTheme="minorHAnsi" w:eastAsia="Arial Unicode MS" w:hAnsiTheme="minorHAnsi" w:cstheme="minorHAnsi"/>
        </w:rPr>
        <w:t xml:space="preserve">county </w:t>
      </w:r>
      <w:r w:rsidRPr="00C8030F">
        <w:rPr>
          <w:rFonts w:asciiTheme="minorHAnsi" w:hAnsiTheme="minorHAnsi" w:cstheme="minorHAnsi"/>
        </w:rPr>
        <w:t>council.  Disposals will not be made with the principal aim of generating funds</w:t>
      </w:r>
    </w:p>
    <w:p w:rsidR="003608C7" w:rsidRPr="00C8030F" w:rsidRDefault="00BA7D94" w:rsidP="003608C7">
      <w:pPr>
        <w:jc w:val="both"/>
        <w:rPr>
          <w:rFonts w:asciiTheme="minorHAnsi" w:eastAsia="Arial Unicode MS" w:hAnsiTheme="minorHAnsi" w:cstheme="minorHAnsi"/>
          <w:highlight w:val="magenta"/>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Investment property</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Investment properties are those assets that are used solely to earn rentals and/or for capital appreciation.  They are not used for service delivery</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Investment properties are measured initially at cost and subsequently at fair value.  Investment properties are not depreciated and an annual valuation programme ensures that they are held at highest and best use value at the balance sheet date.  Gains and losses on revaluation and disposal are charged to the financing and investment income and expenditure line in the comprehensive income and expenditure statement.  </w:t>
      </w: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Rental income is credited to the financing and investment income line</w:t>
      </w:r>
      <w:r w:rsidRPr="00C8030F">
        <w:rPr>
          <w:rFonts w:asciiTheme="minorHAnsi" w:hAnsiTheme="minorHAnsi" w:cstheme="minorHAnsi"/>
        </w:rPr>
        <w:t xml:space="preserve"> </w:t>
      </w:r>
      <w:r w:rsidRPr="00C8030F">
        <w:rPr>
          <w:rFonts w:asciiTheme="minorHAnsi" w:eastAsia="Arial Unicode MS" w:hAnsiTheme="minorHAnsi" w:cstheme="minorHAnsi"/>
        </w:rPr>
        <w:t xml:space="preserve">in the comprehensive income and expenditure statement.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Revaluation and disposal gains and losses are not permitted by statutory arrangements to have an impact on the general fund.  The gains and losses are therefore reversed out of the general fund in the movement in reserves statement and posted to the capital adjustment account.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Fair value measurement</w:t>
      </w:r>
    </w:p>
    <w:p w:rsidR="003608C7" w:rsidRPr="00C8030F" w:rsidRDefault="00BA7D94" w:rsidP="003608C7">
      <w:pPr>
        <w:jc w:val="both"/>
        <w:rPr>
          <w:rFonts w:asciiTheme="minorHAnsi" w:eastAsia="Arial Unicode MS" w:hAnsiTheme="minorHAnsi" w:cstheme="minorHAnsi"/>
          <w:color w:val="CC0066"/>
          <w:sz w:val="28"/>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measures some of its assets such as surplus assets, investment properties and some of its financial instruments at fair value at each reporting date.  Fair value is the price that would be received to sell an asset or paid to transfer a liability in an orderly transaction between market participants at the measurement date.  The fair value measurement assumes that the transaction to sell the asset or transfer the liability takes place either, in the principal market for the asset or liability, or in the absence of a principal market, in the most advantageous market for the asset or liability.</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measures the fair value of an asset or liability using the assumptions that market participants would use when pricing the asset or liability, assuming that market participants act in their economic best interest.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When measuring the fair value, the county council takes into account a market participant’s ability to generate economic benefits by using the asset in its highest and best use or by selling it to another market participant that would use the asset in its highest and best use.</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inputs to the measurement techniques are categorised in accordance with the following three levels: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numPr>
          <w:ilvl w:val="0"/>
          <w:numId w:val="6"/>
        </w:numPr>
        <w:jc w:val="both"/>
        <w:rPr>
          <w:rFonts w:asciiTheme="minorHAnsi" w:eastAsia="Arial Unicode MS" w:hAnsiTheme="minorHAnsi" w:cstheme="minorHAnsi"/>
        </w:rPr>
      </w:pPr>
      <w:r w:rsidRPr="00C8030F">
        <w:rPr>
          <w:rFonts w:asciiTheme="minorHAnsi" w:eastAsia="Arial Unicode MS" w:hAnsiTheme="minorHAnsi" w:cstheme="minorHAnsi"/>
        </w:rPr>
        <w:t>Level 1 inputs – quoted prices (unadjusted) in active markets for identical assets that the council can access at the measurement date;</w:t>
      </w:r>
    </w:p>
    <w:p w:rsidR="003608C7" w:rsidRPr="00C8030F" w:rsidRDefault="00E11D58" w:rsidP="003608C7">
      <w:pPr>
        <w:numPr>
          <w:ilvl w:val="0"/>
          <w:numId w:val="6"/>
        </w:num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Level 2 inputs – inputs other than quoted prices included within Level 1 that are observable for the asset, either directly or indirectly;</w:t>
      </w:r>
    </w:p>
    <w:p w:rsidR="003608C7" w:rsidRPr="00C8030F" w:rsidRDefault="00E11D58" w:rsidP="003608C7">
      <w:pPr>
        <w:numPr>
          <w:ilvl w:val="0"/>
          <w:numId w:val="6"/>
        </w:numPr>
        <w:jc w:val="both"/>
        <w:rPr>
          <w:rFonts w:asciiTheme="minorHAnsi" w:eastAsia="Arial Unicode MS" w:hAnsiTheme="minorHAnsi" w:cstheme="minorHAnsi"/>
        </w:rPr>
      </w:pPr>
      <w:r w:rsidRPr="00C8030F">
        <w:rPr>
          <w:rFonts w:asciiTheme="minorHAnsi" w:eastAsia="Arial Unicode MS" w:hAnsiTheme="minorHAnsi" w:cstheme="minorHAnsi"/>
        </w:rPr>
        <w:t>Level 3 inputs – unobservable inputs for the asset.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 xml:space="preserve">Leases </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Leases are classed as finance leases, where the terms of the lease transfer the majority of the risks and rewards incidental to ownership from the lessor to the lessee.  All other leases are classified as operating leases.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the county council grants a finance lease over a property or an item of plant or equipment, the relevant asset is written out of the balance sheet as a disposal and replaced by a long term debtor in the balance sheet at an amount equal to the net investment in the lease.  Finance income in respect of these debtors is recognised at a constant rate of return on the net investment outstanding in respect of that finance lease.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Reserves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sets aside specific amounts as reserves for future policy purposes or, to cover contingencies.  Reserves are created by appropriating amounts out of the general fund balance in the movement in reserves statement.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When expenditure is incurred which is to be financed from an earmarked reserve, the expenditure is charged to the appropriate service revenue account in that year.  An equal amount is transferred from the reserve to the general fund in the movement in reserves statement</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Certain reserves are held for technical accounting purposes in respect of non-current assets, financial instruments and retirement and employee benefits and do not represent usable resources for the county council.  These reserves are explained in the relevant notes.</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Schools</w:t>
      </w:r>
    </w:p>
    <w:p w:rsidR="003608C7" w:rsidRPr="00C8030F" w:rsidRDefault="00BA7D94" w:rsidP="003608C7">
      <w:pPr>
        <w:jc w:val="both"/>
        <w:rPr>
          <w:rFonts w:asciiTheme="minorHAnsi"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balance of control for local authority maintained schools, foundation, voluntary aided and voluntary controlled schools are all deemed to lie with the council, therefore schools’ assets, liabilities, reserves and cash flows are recognised in the council's financial statements as if they were transactions of the council. </w:t>
      </w:r>
    </w:p>
    <w:p w:rsidR="003608C7" w:rsidRPr="00C8030F" w:rsidRDefault="00BA7D94" w:rsidP="003608C7">
      <w:pPr>
        <w:jc w:val="both"/>
        <w:rPr>
          <w:rFonts w:asciiTheme="minorHAnsi" w:eastAsia="Arial Unicode MS" w:hAnsiTheme="minorHAnsi" w:cstheme="minorHAnsi"/>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Schools’ non-current assets (school buildings and playing fields) are recognised on the balance sheet where the council directly owns the assets, where the council holds the balance of control of the assets or, where the school or the school governing body own the assets or have had rights to use the assets transferred to them.</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Some voluntary aided and controlled schools are owned by trustees.  However, these schools are included within the council's property, plant and equipment as the council receives the benefit from using the properties in terms of delivery of services and also meets the costs of service provision.  </w:t>
      </w:r>
    </w:p>
    <w:p w:rsidR="003608C7" w:rsidRPr="00C8030F" w:rsidRDefault="00BA7D94" w:rsidP="003608C7">
      <w:pPr>
        <w:jc w:val="both"/>
        <w:rPr>
          <w:rFonts w:asciiTheme="minorHAnsi" w:eastAsia="Arial Unicode MS" w:hAnsiTheme="minorHAnsi" w:cstheme="minorHAnsi"/>
        </w:rPr>
      </w:pPr>
    </w:p>
    <w:p w:rsidR="003608C7"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Capital expenditure on schools is added to the balances for those schools as reported in the property, plant and equipment note.  </w:t>
      </w:r>
    </w:p>
    <w:p w:rsidR="003608C7" w:rsidRPr="00C8030F" w:rsidRDefault="00BA7D94" w:rsidP="003608C7">
      <w:pPr>
        <w:jc w:val="both"/>
        <w:rPr>
          <w:rFonts w:asciiTheme="minorHAnsi" w:eastAsia="Arial Unicode MS" w:hAnsiTheme="minorHAnsi" w:cstheme="minorHAnsi"/>
        </w:rPr>
      </w:pPr>
    </w:p>
    <w:p w:rsidR="003608C7" w:rsidRPr="00C8030F" w:rsidRDefault="00E11D58"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School assets are derecognised in full on the date that a school transfers to academy status. </w:t>
      </w:r>
    </w:p>
    <w:p w:rsidR="003608C7" w:rsidRPr="00C8030F" w:rsidRDefault="00BA7D94" w:rsidP="003608C7">
      <w:pPr>
        <w:jc w:val="both"/>
        <w:rPr>
          <w:rFonts w:asciiTheme="minorHAnsi" w:eastAsia="Arial Unicode MS" w:hAnsiTheme="minorHAnsi" w:cstheme="minorHAnsi"/>
        </w:rPr>
      </w:pPr>
    </w:p>
    <w:p w:rsidR="003608C7" w:rsidRDefault="00E11D58" w:rsidP="003608C7">
      <w:pPr>
        <w:jc w:val="both"/>
        <w:rPr>
          <w:rFonts w:asciiTheme="minorHAnsi" w:hAnsiTheme="minorHAnsi" w:cstheme="minorHAnsi"/>
        </w:rPr>
      </w:pPr>
      <w:r w:rsidRPr="00C8030F">
        <w:rPr>
          <w:rFonts w:asciiTheme="minorHAnsi" w:eastAsia="Arial Unicode MS" w:hAnsiTheme="minorHAnsi" w:cstheme="minorHAnsi"/>
        </w:rPr>
        <w:t xml:space="preserve">Dedicated Schools Grant (DSG) is credited to the comprehensive income and expenditure statement based on amounts due from the Education and Skills Funding Agency.  DSG is allocated to budgets delegated to individual schools and centrally retained </w:t>
      </w:r>
      <w:r w:rsidRPr="00C8030F">
        <w:rPr>
          <w:rFonts w:asciiTheme="minorHAnsi" w:hAnsiTheme="minorHAnsi" w:cstheme="minorHAnsi"/>
        </w:rPr>
        <w:t>council budgets.  Expenditure from delegated schools and centrally retained budgets is charged to the comprehensive income and expenditure statement under education and children’s services.</w:t>
      </w:r>
    </w:p>
    <w:p w:rsidR="003608C7" w:rsidRDefault="00BA7D94" w:rsidP="003608C7">
      <w:pPr>
        <w:jc w:val="both"/>
        <w:rPr>
          <w:rFonts w:asciiTheme="minorHAnsi" w:hAnsiTheme="minorHAnsi" w:cstheme="minorHAnsi"/>
        </w:rPr>
      </w:pPr>
    </w:p>
    <w:p w:rsidR="0002763D" w:rsidRDefault="00BA7D94"/>
    <w:sectPr w:rsidR="0002763D" w:rsidSect="00BA7D94">
      <w:headerReference w:type="first" r:id="rId7"/>
      <w:type w:val="continuous"/>
      <w:pgSz w:w="16838" w:h="11906" w:orient="landscape"/>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94" w:rsidRDefault="00BA7D94" w:rsidP="00BA7D94">
      <w:r>
        <w:separator/>
      </w:r>
    </w:p>
  </w:endnote>
  <w:endnote w:type="continuationSeparator" w:id="0">
    <w:p w:rsidR="00BA7D94" w:rsidRDefault="00BA7D94" w:rsidP="00BA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94" w:rsidRDefault="00BA7D94" w:rsidP="00BA7D94">
      <w:r>
        <w:separator/>
      </w:r>
    </w:p>
  </w:footnote>
  <w:footnote w:type="continuationSeparator" w:id="0">
    <w:p w:rsidR="00BA7D94" w:rsidRDefault="00BA7D94" w:rsidP="00BA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94" w:rsidRPr="00BA7D94" w:rsidRDefault="00BA7D94" w:rsidP="00BA7D94">
    <w:pPr>
      <w:pStyle w:val="Header"/>
      <w:jc w:val="right"/>
      <w:rPr>
        <w:rFonts w:ascii="Arial" w:hAnsi="Arial" w:cs="Arial"/>
        <w:sz w:val="40"/>
        <w:szCs w:val="40"/>
      </w:rPr>
    </w:pPr>
    <w:r w:rsidRPr="00BA7D94">
      <w:rPr>
        <w:rFonts w:ascii="Arial" w:hAnsi="Arial" w:cs="Arial"/>
        <w:sz w:val="40"/>
        <w:szCs w:val="40"/>
      </w:rPr>
      <w:t>Annex 1</w:t>
    </w:r>
  </w:p>
  <w:p w:rsidR="00BA7D94" w:rsidRDefault="00BA7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0A"/>
    <w:multiLevelType w:val="hybridMultilevel"/>
    <w:tmpl w:val="B89CE0BC"/>
    <w:lvl w:ilvl="0" w:tplc="D9D4282A">
      <w:start w:val="1"/>
      <w:numFmt w:val="bullet"/>
      <w:lvlText w:val=""/>
      <w:lvlJc w:val="left"/>
      <w:pPr>
        <w:ind w:left="720" w:hanging="360"/>
      </w:pPr>
      <w:rPr>
        <w:rFonts w:ascii="Symbol" w:hAnsi="Symbol" w:hint="default"/>
      </w:rPr>
    </w:lvl>
    <w:lvl w:ilvl="1" w:tplc="3D066A62" w:tentative="1">
      <w:start w:val="1"/>
      <w:numFmt w:val="bullet"/>
      <w:lvlText w:val="o"/>
      <w:lvlJc w:val="left"/>
      <w:pPr>
        <w:ind w:left="1440" w:hanging="360"/>
      </w:pPr>
      <w:rPr>
        <w:rFonts w:ascii="Courier New" w:hAnsi="Courier New" w:cs="Courier New" w:hint="default"/>
      </w:rPr>
    </w:lvl>
    <w:lvl w:ilvl="2" w:tplc="C938DC3A" w:tentative="1">
      <w:start w:val="1"/>
      <w:numFmt w:val="bullet"/>
      <w:lvlText w:val=""/>
      <w:lvlJc w:val="left"/>
      <w:pPr>
        <w:ind w:left="2160" w:hanging="360"/>
      </w:pPr>
      <w:rPr>
        <w:rFonts w:ascii="Wingdings" w:hAnsi="Wingdings" w:hint="default"/>
      </w:rPr>
    </w:lvl>
    <w:lvl w:ilvl="3" w:tplc="4F9A1F32" w:tentative="1">
      <w:start w:val="1"/>
      <w:numFmt w:val="bullet"/>
      <w:lvlText w:val=""/>
      <w:lvlJc w:val="left"/>
      <w:pPr>
        <w:ind w:left="2880" w:hanging="360"/>
      </w:pPr>
      <w:rPr>
        <w:rFonts w:ascii="Symbol" w:hAnsi="Symbol" w:hint="default"/>
      </w:rPr>
    </w:lvl>
    <w:lvl w:ilvl="4" w:tplc="3DA69BC4" w:tentative="1">
      <w:start w:val="1"/>
      <w:numFmt w:val="bullet"/>
      <w:lvlText w:val="o"/>
      <w:lvlJc w:val="left"/>
      <w:pPr>
        <w:ind w:left="3600" w:hanging="360"/>
      </w:pPr>
      <w:rPr>
        <w:rFonts w:ascii="Courier New" w:hAnsi="Courier New" w:cs="Courier New" w:hint="default"/>
      </w:rPr>
    </w:lvl>
    <w:lvl w:ilvl="5" w:tplc="3DEE6040" w:tentative="1">
      <w:start w:val="1"/>
      <w:numFmt w:val="bullet"/>
      <w:lvlText w:val=""/>
      <w:lvlJc w:val="left"/>
      <w:pPr>
        <w:ind w:left="4320" w:hanging="360"/>
      </w:pPr>
      <w:rPr>
        <w:rFonts w:ascii="Wingdings" w:hAnsi="Wingdings" w:hint="default"/>
      </w:rPr>
    </w:lvl>
    <w:lvl w:ilvl="6" w:tplc="F3E2C53A" w:tentative="1">
      <w:start w:val="1"/>
      <w:numFmt w:val="bullet"/>
      <w:lvlText w:val=""/>
      <w:lvlJc w:val="left"/>
      <w:pPr>
        <w:ind w:left="5040" w:hanging="360"/>
      </w:pPr>
      <w:rPr>
        <w:rFonts w:ascii="Symbol" w:hAnsi="Symbol" w:hint="default"/>
      </w:rPr>
    </w:lvl>
    <w:lvl w:ilvl="7" w:tplc="F0626FF4" w:tentative="1">
      <w:start w:val="1"/>
      <w:numFmt w:val="bullet"/>
      <w:lvlText w:val="o"/>
      <w:lvlJc w:val="left"/>
      <w:pPr>
        <w:ind w:left="5760" w:hanging="360"/>
      </w:pPr>
      <w:rPr>
        <w:rFonts w:ascii="Courier New" w:hAnsi="Courier New" w:cs="Courier New" w:hint="default"/>
      </w:rPr>
    </w:lvl>
    <w:lvl w:ilvl="8" w:tplc="620E426C" w:tentative="1">
      <w:start w:val="1"/>
      <w:numFmt w:val="bullet"/>
      <w:lvlText w:val=""/>
      <w:lvlJc w:val="left"/>
      <w:pPr>
        <w:ind w:left="6480" w:hanging="360"/>
      </w:pPr>
      <w:rPr>
        <w:rFonts w:ascii="Wingdings" w:hAnsi="Wingdings" w:hint="default"/>
      </w:rPr>
    </w:lvl>
  </w:abstractNum>
  <w:abstractNum w:abstractNumId="1" w15:restartNumberingAfterBreak="0">
    <w:nsid w:val="088210E3"/>
    <w:multiLevelType w:val="hybridMultilevel"/>
    <w:tmpl w:val="2F1E21B8"/>
    <w:lvl w:ilvl="0" w:tplc="1264070A">
      <w:start w:val="1"/>
      <w:numFmt w:val="bullet"/>
      <w:lvlText w:val=""/>
      <w:lvlJc w:val="left"/>
      <w:pPr>
        <w:ind w:left="720" w:hanging="360"/>
      </w:pPr>
      <w:rPr>
        <w:rFonts w:ascii="Symbol" w:hAnsi="Symbol" w:hint="default"/>
      </w:rPr>
    </w:lvl>
    <w:lvl w:ilvl="1" w:tplc="55D8C2DE" w:tentative="1">
      <w:start w:val="1"/>
      <w:numFmt w:val="bullet"/>
      <w:lvlText w:val="o"/>
      <w:lvlJc w:val="left"/>
      <w:pPr>
        <w:ind w:left="1440" w:hanging="360"/>
      </w:pPr>
      <w:rPr>
        <w:rFonts w:ascii="Courier New" w:hAnsi="Courier New" w:cs="Courier New" w:hint="default"/>
      </w:rPr>
    </w:lvl>
    <w:lvl w:ilvl="2" w:tplc="66A41EE2" w:tentative="1">
      <w:start w:val="1"/>
      <w:numFmt w:val="bullet"/>
      <w:lvlText w:val=""/>
      <w:lvlJc w:val="left"/>
      <w:pPr>
        <w:ind w:left="2160" w:hanging="360"/>
      </w:pPr>
      <w:rPr>
        <w:rFonts w:ascii="Wingdings" w:hAnsi="Wingdings" w:hint="default"/>
      </w:rPr>
    </w:lvl>
    <w:lvl w:ilvl="3" w:tplc="1CD45FB4" w:tentative="1">
      <w:start w:val="1"/>
      <w:numFmt w:val="bullet"/>
      <w:lvlText w:val=""/>
      <w:lvlJc w:val="left"/>
      <w:pPr>
        <w:ind w:left="2880" w:hanging="360"/>
      </w:pPr>
      <w:rPr>
        <w:rFonts w:ascii="Symbol" w:hAnsi="Symbol" w:hint="default"/>
      </w:rPr>
    </w:lvl>
    <w:lvl w:ilvl="4" w:tplc="D734A460" w:tentative="1">
      <w:start w:val="1"/>
      <w:numFmt w:val="bullet"/>
      <w:lvlText w:val="o"/>
      <w:lvlJc w:val="left"/>
      <w:pPr>
        <w:ind w:left="3600" w:hanging="360"/>
      </w:pPr>
      <w:rPr>
        <w:rFonts w:ascii="Courier New" w:hAnsi="Courier New" w:cs="Courier New" w:hint="default"/>
      </w:rPr>
    </w:lvl>
    <w:lvl w:ilvl="5" w:tplc="A72A8F48" w:tentative="1">
      <w:start w:val="1"/>
      <w:numFmt w:val="bullet"/>
      <w:lvlText w:val=""/>
      <w:lvlJc w:val="left"/>
      <w:pPr>
        <w:ind w:left="4320" w:hanging="360"/>
      </w:pPr>
      <w:rPr>
        <w:rFonts w:ascii="Wingdings" w:hAnsi="Wingdings" w:hint="default"/>
      </w:rPr>
    </w:lvl>
    <w:lvl w:ilvl="6" w:tplc="323A25C8" w:tentative="1">
      <w:start w:val="1"/>
      <w:numFmt w:val="bullet"/>
      <w:lvlText w:val=""/>
      <w:lvlJc w:val="left"/>
      <w:pPr>
        <w:ind w:left="5040" w:hanging="360"/>
      </w:pPr>
      <w:rPr>
        <w:rFonts w:ascii="Symbol" w:hAnsi="Symbol" w:hint="default"/>
      </w:rPr>
    </w:lvl>
    <w:lvl w:ilvl="7" w:tplc="BCACA1B4" w:tentative="1">
      <w:start w:val="1"/>
      <w:numFmt w:val="bullet"/>
      <w:lvlText w:val="o"/>
      <w:lvlJc w:val="left"/>
      <w:pPr>
        <w:ind w:left="5760" w:hanging="360"/>
      </w:pPr>
      <w:rPr>
        <w:rFonts w:ascii="Courier New" w:hAnsi="Courier New" w:cs="Courier New" w:hint="default"/>
      </w:rPr>
    </w:lvl>
    <w:lvl w:ilvl="8" w:tplc="0882ABB0" w:tentative="1">
      <w:start w:val="1"/>
      <w:numFmt w:val="bullet"/>
      <w:lvlText w:val=""/>
      <w:lvlJc w:val="left"/>
      <w:pPr>
        <w:ind w:left="6480" w:hanging="360"/>
      </w:pPr>
      <w:rPr>
        <w:rFonts w:ascii="Wingdings" w:hAnsi="Wingdings" w:hint="default"/>
      </w:rPr>
    </w:lvl>
  </w:abstractNum>
  <w:abstractNum w:abstractNumId="2" w15:restartNumberingAfterBreak="0">
    <w:nsid w:val="1D9E73B6"/>
    <w:multiLevelType w:val="hybridMultilevel"/>
    <w:tmpl w:val="BEA2F9FC"/>
    <w:lvl w:ilvl="0" w:tplc="B54808E0">
      <w:start w:val="1"/>
      <w:numFmt w:val="bullet"/>
      <w:lvlText w:val=""/>
      <w:lvlJc w:val="left"/>
      <w:pPr>
        <w:ind w:left="720" w:hanging="360"/>
      </w:pPr>
      <w:rPr>
        <w:rFonts w:ascii="Symbol" w:hAnsi="Symbol" w:hint="default"/>
      </w:rPr>
    </w:lvl>
    <w:lvl w:ilvl="1" w:tplc="BB042794" w:tentative="1">
      <w:start w:val="1"/>
      <w:numFmt w:val="bullet"/>
      <w:lvlText w:val="o"/>
      <w:lvlJc w:val="left"/>
      <w:pPr>
        <w:ind w:left="1440" w:hanging="360"/>
      </w:pPr>
      <w:rPr>
        <w:rFonts w:ascii="Courier New" w:hAnsi="Courier New" w:cs="Courier New" w:hint="default"/>
      </w:rPr>
    </w:lvl>
    <w:lvl w:ilvl="2" w:tplc="CE8C83A4" w:tentative="1">
      <w:start w:val="1"/>
      <w:numFmt w:val="bullet"/>
      <w:lvlText w:val=""/>
      <w:lvlJc w:val="left"/>
      <w:pPr>
        <w:ind w:left="2160" w:hanging="360"/>
      </w:pPr>
      <w:rPr>
        <w:rFonts w:ascii="Wingdings" w:hAnsi="Wingdings" w:hint="default"/>
      </w:rPr>
    </w:lvl>
    <w:lvl w:ilvl="3" w:tplc="A18600EC" w:tentative="1">
      <w:start w:val="1"/>
      <w:numFmt w:val="bullet"/>
      <w:lvlText w:val=""/>
      <w:lvlJc w:val="left"/>
      <w:pPr>
        <w:ind w:left="2880" w:hanging="360"/>
      </w:pPr>
      <w:rPr>
        <w:rFonts w:ascii="Symbol" w:hAnsi="Symbol" w:hint="default"/>
      </w:rPr>
    </w:lvl>
    <w:lvl w:ilvl="4" w:tplc="DC0A1952" w:tentative="1">
      <w:start w:val="1"/>
      <w:numFmt w:val="bullet"/>
      <w:lvlText w:val="o"/>
      <w:lvlJc w:val="left"/>
      <w:pPr>
        <w:ind w:left="3600" w:hanging="360"/>
      </w:pPr>
      <w:rPr>
        <w:rFonts w:ascii="Courier New" w:hAnsi="Courier New" w:cs="Courier New" w:hint="default"/>
      </w:rPr>
    </w:lvl>
    <w:lvl w:ilvl="5" w:tplc="B37E8B00" w:tentative="1">
      <w:start w:val="1"/>
      <w:numFmt w:val="bullet"/>
      <w:lvlText w:val=""/>
      <w:lvlJc w:val="left"/>
      <w:pPr>
        <w:ind w:left="4320" w:hanging="360"/>
      </w:pPr>
      <w:rPr>
        <w:rFonts w:ascii="Wingdings" w:hAnsi="Wingdings" w:hint="default"/>
      </w:rPr>
    </w:lvl>
    <w:lvl w:ilvl="6" w:tplc="FE800F36" w:tentative="1">
      <w:start w:val="1"/>
      <w:numFmt w:val="bullet"/>
      <w:lvlText w:val=""/>
      <w:lvlJc w:val="left"/>
      <w:pPr>
        <w:ind w:left="5040" w:hanging="360"/>
      </w:pPr>
      <w:rPr>
        <w:rFonts w:ascii="Symbol" w:hAnsi="Symbol" w:hint="default"/>
      </w:rPr>
    </w:lvl>
    <w:lvl w:ilvl="7" w:tplc="03BCA864" w:tentative="1">
      <w:start w:val="1"/>
      <w:numFmt w:val="bullet"/>
      <w:lvlText w:val="o"/>
      <w:lvlJc w:val="left"/>
      <w:pPr>
        <w:ind w:left="5760" w:hanging="360"/>
      </w:pPr>
      <w:rPr>
        <w:rFonts w:ascii="Courier New" w:hAnsi="Courier New" w:cs="Courier New" w:hint="default"/>
      </w:rPr>
    </w:lvl>
    <w:lvl w:ilvl="8" w:tplc="84AE7372" w:tentative="1">
      <w:start w:val="1"/>
      <w:numFmt w:val="bullet"/>
      <w:lvlText w:val=""/>
      <w:lvlJc w:val="left"/>
      <w:pPr>
        <w:ind w:left="6480" w:hanging="360"/>
      </w:pPr>
      <w:rPr>
        <w:rFonts w:ascii="Wingdings" w:hAnsi="Wingdings" w:hint="default"/>
      </w:rPr>
    </w:lvl>
  </w:abstractNum>
  <w:abstractNum w:abstractNumId="3" w15:restartNumberingAfterBreak="0">
    <w:nsid w:val="25685196"/>
    <w:multiLevelType w:val="hybridMultilevel"/>
    <w:tmpl w:val="3C8EA588"/>
    <w:lvl w:ilvl="0" w:tplc="925C76D6">
      <w:start w:val="1"/>
      <w:numFmt w:val="bullet"/>
      <w:lvlText w:val=""/>
      <w:lvlJc w:val="left"/>
      <w:pPr>
        <w:ind w:left="720" w:hanging="360"/>
      </w:pPr>
      <w:rPr>
        <w:rFonts w:ascii="Symbol" w:hAnsi="Symbol" w:hint="default"/>
      </w:rPr>
    </w:lvl>
    <w:lvl w:ilvl="1" w:tplc="7CF08816" w:tentative="1">
      <w:start w:val="1"/>
      <w:numFmt w:val="bullet"/>
      <w:lvlText w:val="o"/>
      <w:lvlJc w:val="left"/>
      <w:pPr>
        <w:ind w:left="1440" w:hanging="360"/>
      </w:pPr>
      <w:rPr>
        <w:rFonts w:ascii="Courier New" w:hAnsi="Courier New" w:cs="Courier New" w:hint="default"/>
      </w:rPr>
    </w:lvl>
    <w:lvl w:ilvl="2" w:tplc="15C8F570" w:tentative="1">
      <w:start w:val="1"/>
      <w:numFmt w:val="bullet"/>
      <w:lvlText w:val=""/>
      <w:lvlJc w:val="left"/>
      <w:pPr>
        <w:ind w:left="2160" w:hanging="360"/>
      </w:pPr>
      <w:rPr>
        <w:rFonts w:ascii="Wingdings" w:hAnsi="Wingdings" w:hint="default"/>
      </w:rPr>
    </w:lvl>
    <w:lvl w:ilvl="3" w:tplc="8F949C20" w:tentative="1">
      <w:start w:val="1"/>
      <w:numFmt w:val="bullet"/>
      <w:lvlText w:val=""/>
      <w:lvlJc w:val="left"/>
      <w:pPr>
        <w:ind w:left="2880" w:hanging="360"/>
      </w:pPr>
      <w:rPr>
        <w:rFonts w:ascii="Symbol" w:hAnsi="Symbol" w:hint="default"/>
      </w:rPr>
    </w:lvl>
    <w:lvl w:ilvl="4" w:tplc="E63A066C" w:tentative="1">
      <w:start w:val="1"/>
      <w:numFmt w:val="bullet"/>
      <w:lvlText w:val="o"/>
      <w:lvlJc w:val="left"/>
      <w:pPr>
        <w:ind w:left="3600" w:hanging="360"/>
      </w:pPr>
      <w:rPr>
        <w:rFonts w:ascii="Courier New" w:hAnsi="Courier New" w:cs="Courier New" w:hint="default"/>
      </w:rPr>
    </w:lvl>
    <w:lvl w:ilvl="5" w:tplc="98E04EC4" w:tentative="1">
      <w:start w:val="1"/>
      <w:numFmt w:val="bullet"/>
      <w:lvlText w:val=""/>
      <w:lvlJc w:val="left"/>
      <w:pPr>
        <w:ind w:left="4320" w:hanging="360"/>
      </w:pPr>
      <w:rPr>
        <w:rFonts w:ascii="Wingdings" w:hAnsi="Wingdings" w:hint="default"/>
      </w:rPr>
    </w:lvl>
    <w:lvl w:ilvl="6" w:tplc="2C66A082" w:tentative="1">
      <w:start w:val="1"/>
      <w:numFmt w:val="bullet"/>
      <w:lvlText w:val=""/>
      <w:lvlJc w:val="left"/>
      <w:pPr>
        <w:ind w:left="5040" w:hanging="360"/>
      </w:pPr>
      <w:rPr>
        <w:rFonts w:ascii="Symbol" w:hAnsi="Symbol" w:hint="default"/>
      </w:rPr>
    </w:lvl>
    <w:lvl w:ilvl="7" w:tplc="16BA2C12" w:tentative="1">
      <w:start w:val="1"/>
      <w:numFmt w:val="bullet"/>
      <w:lvlText w:val="o"/>
      <w:lvlJc w:val="left"/>
      <w:pPr>
        <w:ind w:left="5760" w:hanging="360"/>
      </w:pPr>
      <w:rPr>
        <w:rFonts w:ascii="Courier New" w:hAnsi="Courier New" w:cs="Courier New" w:hint="default"/>
      </w:rPr>
    </w:lvl>
    <w:lvl w:ilvl="8" w:tplc="2B6AF02C" w:tentative="1">
      <w:start w:val="1"/>
      <w:numFmt w:val="bullet"/>
      <w:lvlText w:val=""/>
      <w:lvlJc w:val="left"/>
      <w:pPr>
        <w:ind w:left="6480" w:hanging="360"/>
      </w:pPr>
      <w:rPr>
        <w:rFonts w:ascii="Wingdings" w:hAnsi="Wingdings" w:hint="default"/>
      </w:rPr>
    </w:lvl>
  </w:abstractNum>
  <w:abstractNum w:abstractNumId="4" w15:restartNumberingAfterBreak="0">
    <w:nsid w:val="4F984420"/>
    <w:multiLevelType w:val="hybridMultilevel"/>
    <w:tmpl w:val="BAD060EA"/>
    <w:lvl w:ilvl="0" w:tplc="00946C98">
      <w:start w:val="1"/>
      <w:numFmt w:val="bullet"/>
      <w:lvlText w:val=""/>
      <w:lvlJc w:val="left"/>
      <w:pPr>
        <w:ind w:left="720" w:hanging="360"/>
      </w:pPr>
      <w:rPr>
        <w:rFonts w:ascii="Symbol" w:hAnsi="Symbol" w:hint="default"/>
      </w:rPr>
    </w:lvl>
    <w:lvl w:ilvl="1" w:tplc="824C363E" w:tentative="1">
      <w:start w:val="1"/>
      <w:numFmt w:val="bullet"/>
      <w:lvlText w:val="o"/>
      <w:lvlJc w:val="left"/>
      <w:pPr>
        <w:ind w:left="1440" w:hanging="360"/>
      </w:pPr>
      <w:rPr>
        <w:rFonts w:ascii="Courier New" w:hAnsi="Courier New" w:cs="Courier New" w:hint="default"/>
      </w:rPr>
    </w:lvl>
    <w:lvl w:ilvl="2" w:tplc="5C663596" w:tentative="1">
      <w:start w:val="1"/>
      <w:numFmt w:val="bullet"/>
      <w:lvlText w:val=""/>
      <w:lvlJc w:val="left"/>
      <w:pPr>
        <w:ind w:left="2160" w:hanging="360"/>
      </w:pPr>
      <w:rPr>
        <w:rFonts w:ascii="Wingdings" w:hAnsi="Wingdings" w:hint="default"/>
      </w:rPr>
    </w:lvl>
    <w:lvl w:ilvl="3" w:tplc="47668D4C" w:tentative="1">
      <w:start w:val="1"/>
      <w:numFmt w:val="bullet"/>
      <w:lvlText w:val=""/>
      <w:lvlJc w:val="left"/>
      <w:pPr>
        <w:ind w:left="2880" w:hanging="360"/>
      </w:pPr>
      <w:rPr>
        <w:rFonts w:ascii="Symbol" w:hAnsi="Symbol" w:hint="default"/>
      </w:rPr>
    </w:lvl>
    <w:lvl w:ilvl="4" w:tplc="15860AF0" w:tentative="1">
      <w:start w:val="1"/>
      <w:numFmt w:val="bullet"/>
      <w:lvlText w:val="o"/>
      <w:lvlJc w:val="left"/>
      <w:pPr>
        <w:ind w:left="3600" w:hanging="360"/>
      </w:pPr>
      <w:rPr>
        <w:rFonts w:ascii="Courier New" w:hAnsi="Courier New" w:cs="Courier New" w:hint="default"/>
      </w:rPr>
    </w:lvl>
    <w:lvl w:ilvl="5" w:tplc="E83831AA" w:tentative="1">
      <w:start w:val="1"/>
      <w:numFmt w:val="bullet"/>
      <w:lvlText w:val=""/>
      <w:lvlJc w:val="left"/>
      <w:pPr>
        <w:ind w:left="4320" w:hanging="360"/>
      </w:pPr>
      <w:rPr>
        <w:rFonts w:ascii="Wingdings" w:hAnsi="Wingdings" w:hint="default"/>
      </w:rPr>
    </w:lvl>
    <w:lvl w:ilvl="6" w:tplc="CDC46A68" w:tentative="1">
      <w:start w:val="1"/>
      <w:numFmt w:val="bullet"/>
      <w:lvlText w:val=""/>
      <w:lvlJc w:val="left"/>
      <w:pPr>
        <w:ind w:left="5040" w:hanging="360"/>
      </w:pPr>
      <w:rPr>
        <w:rFonts w:ascii="Symbol" w:hAnsi="Symbol" w:hint="default"/>
      </w:rPr>
    </w:lvl>
    <w:lvl w:ilvl="7" w:tplc="7E7A8862" w:tentative="1">
      <w:start w:val="1"/>
      <w:numFmt w:val="bullet"/>
      <w:lvlText w:val="o"/>
      <w:lvlJc w:val="left"/>
      <w:pPr>
        <w:ind w:left="5760" w:hanging="360"/>
      </w:pPr>
      <w:rPr>
        <w:rFonts w:ascii="Courier New" w:hAnsi="Courier New" w:cs="Courier New" w:hint="default"/>
      </w:rPr>
    </w:lvl>
    <w:lvl w:ilvl="8" w:tplc="7F0A2136" w:tentative="1">
      <w:start w:val="1"/>
      <w:numFmt w:val="bullet"/>
      <w:lvlText w:val=""/>
      <w:lvlJc w:val="left"/>
      <w:pPr>
        <w:ind w:left="6480" w:hanging="360"/>
      </w:pPr>
      <w:rPr>
        <w:rFonts w:ascii="Wingdings" w:hAnsi="Wingdings" w:hint="default"/>
      </w:rPr>
    </w:lvl>
  </w:abstractNum>
  <w:abstractNum w:abstractNumId="5" w15:restartNumberingAfterBreak="0">
    <w:nsid w:val="524C705D"/>
    <w:multiLevelType w:val="hybridMultilevel"/>
    <w:tmpl w:val="E6FE5E3E"/>
    <w:lvl w:ilvl="0" w:tplc="DEFAC830">
      <w:start w:val="1"/>
      <w:numFmt w:val="bullet"/>
      <w:lvlText w:val=""/>
      <w:lvlJc w:val="left"/>
      <w:pPr>
        <w:ind w:left="720" w:hanging="360"/>
      </w:pPr>
      <w:rPr>
        <w:rFonts w:ascii="Symbol" w:hAnsi="Symbol" w:hint="default"/>
      </w:rPr>
    </w:lvl>
    <w:lvl w:ilvl="1" w:tplc="81948C4E" w:tentative="1">
      <w:start w:val="1"/>
      <w:numFmt w:val="bullet"/>
      <w:lvlText w:val="o"/>
      <w:lvlJc w:val="left"/>
      <w:pPr>
        <w:ind w:left="1440" w:hanging="360"/>
      </w:pPr>
      <w:rPr>
        <w:rFonts w:ascii="Courier New" w:hAnsi="Courier New" w:cs="Courier New" w:hint="default"/>
      </w:rPr>
    </w:lvl>
    <w:lvl w:ilvl="2" w:tplc="ED90347E" w:tentative="1">
      <w:start w:val="1"/>
      <w:numFmt w:val="bullet"/>
      <w:lvlText w:val=""/>
      <w:lvlJc w:val="left"/>
      <w:pPr>
        <w:ind w:left="2160" w:hanging="360"/>
      </w:pPr>
      <w:rPr>
        <w:rFonts w:ascii="Wingdings" w:hAnsi="Wingdings" w:hint="default"/>
      </w:rPr>
    </w:lvl>
    <w:lvl w:ilvl="3" w:tplc="4C06F610" w:tentative="1">
      <w:start w:val="1"/>
      <w:numFmt w:val="bullet"/>
      <w:lvlText w:val=""/>
      <w:lvlJc w:val="left"/>
      <w:pPr>
        <w:ind w:left="2880" w:hanging="360"/>
      </w:pPr>
      <w:rPr>
        <w:rFonts w:ascii="Symbol" w:hAnsi="Symbol" w:hint="default"/>
      </w:rPr>
    </w:lvl>
    <w:lvl w:ilvl="4" w:tplc="7F2C1CC0" w:tentative="1">
      <w:start w:val="1"/>
      <w:numFmt w:val="bullet"/>
      <w:lvlText w:val="o"/>
      <w:lvlJc w:val="left"/>
      <w:pPr>
        <w:ind w:left="3600" w:hanging="360"/>
      </w:pPr>
      <w:rPr>
        <w:rFonts w:ascii="Courier New" w:hAnsi="Courier New" w:cs="Courier New" w:hint="default"/>
      </w:rPr>
    </w:lvl>
    <w:lvl w:ilvl="5" w:tplc="54408CE6" w:tentative="1">
      <w:start w:val="1"/>
      <w:numFmt w:val="bullet"/>
      <w:lvlText w:val=""/>
      <w:lvlJc w:val="left"/>
      <w:pPr>
        <w:ind w:left="4320" w:hanging="360"/>
      </w:pPr>
      <w:rPr>
        <w:rFonts w:ascii="Wingdings" w:hAnsi="Wingdings" w:hint="default"/>
      </w:rPr>
    </w:lvl>
    <w:lvl w:ilvl="6" w:tplc="C8528168" w:tentative="1">
      <w:start w:val="1"/>
      <w:numFmt w:val="bullet"/>
      <w:lvlText w:val=""/>
      <w:lvlJc w:val="left"/>
      <w:pPr>
        <w:ind w:left="5040" w:hanging="360"/>
      </w:pPr>
      <w:rPr>
        <w:rFonts w:ascii="Symbol" w:hAnsi="Symbol" w:hint="default"/>
      </w:rPr>
    </w:lvl>
    <w:lvl w:ilvl="7" w:tplc="D070034C" w:tentative="1">
      <w:start w:val="1"/>
      <w:numFmt w:val="bullet"/>
      <w:lvlText w:val="o"/>
      <w:lvlJc w:val="left"/>
      <w:pPr>
        <w:ind w:left="5760" w:hanging="360"/>
      </w:pPr>
      <w:rPr>
        <w:rFonts w:ascii="Courier New" w:hAnsi="Courier New" w:cs="Courier New" w:hint="default"/>
      </w:rPr>
    </w:lvl>
    <w:lvl w:ilvl="8" w:tplc="BC6ADDEC" w:tentative="1">
      <w:start w:val="1"/>
      <w:numFmt w:val="bullet"/>
      <w:lvlText w:val=""/>
      <w:lvlJc w:val="left"/>
      <w:pPr>
        <w:ind w:left="6480" w:hanging="360"/>
      </w:pPr>
      <w:rPr>
        <w:rFonts w:ascii="Wingdings" w:hAnsi="Wingdings" w:hint="default"/>
      </w:rPr>
    </w:lvl>
  </w:abstractNum>
  <w:abstractNum w:abstractNumId="6" w15:restartNumberingAfterBreak="0">
    <w:nsid w:val="542008EA"/>
    <w:multiLevelType w:val="hybridMultilevel"/>
    <w:tmpl w:val="606688BC"/>
    <w:lvl w:ilvl="0" w:tplc="8C88CFEE">
      <w:start w:val="1"/>
      <w:numFmt w:val="bullet"/>
      <w:lvlText w:val=""/>
      <w:lvlJc w:val="left"/>
      <w:pPr>
        <w:ind w:left="720" w:hanging="360"/>
      </w:pPr>
      <w:rPr>
        <w:rFonts w:ascii="Symbol" w:hAnsi="Symbol" w:hint="default"/>
      </w:rPr>
    </w:lvl>
    <w:lvl w:ilvl="1" w:tplc="8ED0363C" w:tentative="1">
      <w:start w:val="1"/>
      <w:numFmt w:val="bullet"/>
      <w:lvlText w:val="o"/>
      <w:lvlJc w:val="left"/>
      <w:pPr>
        <w:ind w:left="1440" w:hanging="360"/>
      </w:pPr>
      <w:rPr>
        <w:rFonts w:ascii="Courier New" w:hAnsi="Courier New" w:cs="Courier New" w:hint="default"/>
      </w:rPr>
    </w:lvl>
    <w:lvl w:ilvl="2" w:tplc="20C6AF72" w:tentative="1">
      <w:start w:val="1"/>
      <w:numFmt w:val="bullet"/>
      <w:lvlText w:val=""/>
      <w:lvlJc w:val="left"/>
      <w:pPr>
        <w:ind w:left="2160" w:hanging="360"/>
      </w:pPr>
      <w:rPr>
        <w:rFonts w:ascii="Wingdings" w:hAnsi="Wingdings" w:hint="default"/>
      </w:rPr>
    </w:lvl>
    <w:lvl w:ilvl="3" w:tplc="1D3ABC38" w:tentative="1">
      <w:start w:val="1"/>
      <w:numFmt w:val="bullet"/>
      <w:lvlText w:val=""/>
      <w:lvlJc w:val="left"/>
      <w:pPr>
        <w:ind w:left="2880" w:hanging="360"/>
      </w:pPr>
      <w:rPr>
        <w:rFonts w:ascii="Symbol" w:hAnsi="Symbol" w:hint="default"/>
      </w:rPr>
    </w:lvl>
    <w:lvl w:ilvl="4" w:tplc="304C4BEC" w:tentative="1">
      <w:start w:val="1"/>
      <w:numFmt w:val="bullet"/>
      <w:lvlText w:val="o"/>
      <w:lvlJc w:val="left"/>
      <w:pPr>
        <w:ind w:left="3600" w:hanging="360"/>
      </w:pPr>
      <w:rPr>
        <w:rFonts w:ascii="Courier New" w:hAnsi="Courier New" w:cs="Courier New" w:hint="default"/>
      </w:rPr>
    </w:lvl>
    <w:lvl w:ilvl="5" w:tplc="05D4D80A" w:tentative="1">
      <w:start w:val="1"/>
      <w:numFmt w:val="bullet"/>
      <w:lvlText w:val=""/>
      <w:lvlJc w:val="left"/>
      <w:pPr>
        <w:ind w:left="4320" w:hanging="360"/>
      </w:pPr>
      <w:rPr>
        <w:rFonts w:ascii="Wingdings" w:hAnsi="Wingdings" w:hint="default"/>
      </w:rPr>
    </w:lvl>
    <w:lvl w:ilvl="6" w:tplc="72A255BC" w:tentative="1">
      <w:start w:val="1"/>
      <w:numFmt w:val="bullet"/>
      <w:lvlText w:val=""/>
      <w:lvlJc w:val="left"/>
      <w:pPr>
        <w:ind w:left="5040" w:hanging="360"/>
      </w:pPr>
      <w:rPr>
        <w:rFonts w:ascii="Symbol" w:hAnsi="Symbol" w:hint="default"/>
      </w:rPr>
    </w:lvl>
    <w:lvl w:ilvl="7" w:tplc="6C4E4EDC" w:tentative="1">
      <w:start w:val="1"/>
      <w:numFmt w:val="bullet"/>
      <w:lvlText w:val="o"/>
      <w:lvlJc w:val="left"/>
      <w:pPr>
        <w:ind w:left="5760" w:hanging="360"/>
      </w:pPr>
      <w:rPr>
        <w:rFonts w:ascii="Courier New" w:hAnsi="Courier New" w:cs="Courier New" w:hint="default"/>
      </w:rPr>
    </w:lvl>
    <w:lvl w:ilvl="8" w:tplc="A4C8186A" w:tentative="1">
      <w:start w:val="1"/>
      <w:numFmt w:val="bullet"/>
      <w:lvlText w:val=""/>
      <w:lvlJc w:val="left"/>
      <w:pPr>
        <w:ind w:left="6480" w:hanging="360"/>
      </w:pPr>
      <w:rPr>
        <w:rFonts w:ascii="Wingdings" w:hAnsi="Wingdings" w:hint="default"/>
      </w:rPr>
    </w:lvl>
  </w:abstractNum>
  <w:abstractNum w:abstractNumId="7" w15:restartNumberingAfterBreak="0">
    <w:nsid w:val="67BD77F3"/>
    <w:multiLevelType w:val="hybridMultilevel"/>
    <w:tmpl w:val="F416B484"/>
    <w:lvl w:ilvl="0" w:tplc="FBF2075C">
      <w:start w:val="1"/>
      <w:numFmt w:val="bullet"/>
      <w:lvlText w:val=""/>
      <w:lvlJc w:val="left"/>
      <w:pPr>
        <w:ind w:left="720" w:hanging="360"/>
      </w:pPr>
      <w:rPr>
        <w:rFonts w:ascii="Symbol" w:hAnsi="Symbol" w:hint="default"/>
      </w:rPr>
    </w:lvl>
    <w:lvl w:ilvl="1" w:tplc="BDF03340" w:tentative="1">
      <w:start w:val="1"/>
      <w:numFmt w:val="bullet"/>
      <w:lvlText w:val="o"/>
      <w:lvlJc w:val="left"/>
      <w:pPr>
        <w:ind w:left="1440" w:hanging="360"/>
      </w:pPr>
      <w:rPr>
        <w:rFonts w:ascii="Courier New" w:hAnsi="Courier New" w:cs="Courier New" w:hint="default"/>
      </w:rPr>
    </w:lvl>
    <w:lvl w:ilvl="2" w:tplc="8D9C35EC" w:tentative="1">
      <w:start w:val="1"/>
      <w:numFmt w:val="bullet"/>
      <w:lvlText w:val=""/>
      <w:lvlJc w:val="left"/>
      <w:pPr>
        <w:ind w:left="2160" w:hanging="360"/>
      </w:pPr>
      <w:rPr>
        <w:rFonts w:ascii="Wingdings" w:hAnsi="Wingdings" w:hint="default"/>
      </w:rPr>
    </w:lvl>
    <w:lvl w:ilvl="3" w:tplc="E7A65B9C" w:tentative="1">
      <w:start w:val="1"/>
      <w:numFmt w:val="bullet"/>
      <w:lvlText w:val=""/>
      <w:lvlJc w:val="left"/>
      <w:pPr>
        <w:ind w:left="2880" w:hanging="360"/>
      </w:pPr>
      <w:rPr>
        <w:rFonts w:ascii="Symbol" w:hAnsi="Symbol" w:hint="default"/>
      </w:rPr>
    </w:lvl>
    <w:lvl w:ilvl="4" w:tplc="E9CE4918" w:tentative="1">
      <w:start w:val="1"/>
      <w:numFmt w:val="bullet"/>
      <w:lvlText w:val="o"/>
      <w:lvlJc w:val="left"/>
      <w:pPr>
        <w:ind w:left="3600" w:hanging="360"/>
      </w:pPr>
      <w:rPr>
        <w:rFonts w:ascii="Courier New" w:hAnsi="Courier New" w:cs="Courier New" w:hint="default"/>
      </w:rPr>
    </w:lvl>
    <w:lvl w:ilvl="5" w:tplc="74708B9E" w:tentative="1">
      <w:start w:val="1"/>
      <w:numFmt w:val="bullet"/>
      <w:lvlText w:val=""/>
      <w:lvlJc w:val="left"/>
      <w:pPr>
        <w:ind w:left="4320" w:hanging="360"/>
      </w:pPr>
      <w:rPr>
        <w:rFonts w:ascii="Wingdings" w:hAnsi="Wingdings" w:hint="default"/>
      </w:rPr>
    </w:lvl>
    <w:lvl w:ilvl="6" w:tplc="9A0E9442" w:tentative="1">
      <w:start w:val="1"/>
      <w:numFmt w:val="bullet"/>
      <w:lvlText w:val=""/>
      <w:lvlJc w:val="left"/>
      <w:pPr>
        <w:ind w:left="5040" w:hanging="360"/>
      </w:pPr>
      <w:rPr>
        <w:rFonts w:ascii="Symbol" w:hAnsi="Symbol" w:hint="default"/>
      </w:rPr>
    </w:lvl>
    <w:lvl w:ilvl="7" w:tplc="4CA824E2" w:tentative="1">
      <w:start w:val="1"/>
      <w:numFmt w:val="bullet"/>
      <w:lvlText w:val="o"/>
      <w:lvlJc w:val="left"/>
      <w:pPr>
        <w:ind w:left="5760" w:hanging="360"/>
      </w:pPr>
      <w:rPr>
        <w:rFonts w:ascii="Courier New" w:hAnsi="Courier New" w:cs="Courier New" w:hint="default"/>
      </w:rPr>
    </w:lvl>
    <w:lvl w:ilvl="8" w:tplc="76E6FB82" w:tentative="1">
      <w:start w:val="1"/>
      <w:numFmt w:val="bullet"/>
      <w:lvlText w:val=""/>
      <w:lvlJc w:val="left"/>
      <w:pPr>
        <w:ind w:left="6480" w:hanging="360"/>
      </w:pPr>
      <w:rPr>
        <w:rFonts w:ascii="Wingdings" w:hAnsi="Wingdings" w:hint="default"/>
      </w:rPr>
    </w:lvl>
  </w:abstractNum>
  <w:abstractNum w:abstractNumId="8" w15:restartNumberingAfterBreak="0">
    <w:nsid w:val="6FD916F9"/>
    <w:multiLevelType w:val="hybridMultilevel"/>
    <w:tmpl w:val="1690F832"/>
    <w:lvl w:ilvl="0" w:tplc="02386632">
      <w:start w:val="1"/>
      <w:numFmt w:val="bullet"/>
      <w:lvlText w:val=""/>
      <w:lvlJc w:val="left"/>
      <w:pPr>
        <w:ind w:left="720" w:hanging="360"/>
      </w:pPr>
      <w:rPr>
        <w:rFonts w:ascii="Symbol" w:hAnsi="Symbol" w:hint="default"/>
      </w:rPr>
    </w:lvl>
    <w:lvl w:ilvl="1" w:tplc="FC7A848C" w:tentative="1">
      <w:start w:val="1"/>
      <w:numFmt w:val="bullet"/>
      <w:lvlText w:val="o"/>
      <w:lvlJc w:val="left"/>
      <w:pPr>
        <w:ind w:left="1440" w:hanging="360"/>
      </w:pPr>
      <w:rPr>
        <w:rFonts w:ascii="Courier New" w:hAnsi="Courier New" w:cs="Courier New" w:hint="default"/>
      </w:rPr>
    </w:lvl>
    <w:lvl w:ilvl="2" w:tplc="69929254" w:tentative="1">
      <w:start w:val="1"/>
      <w:numFmt w:val="bullet"/>
      <w:lvlText w:val=""/>
      <w:lvlJc w:val="left"/>
      <w:pPr>
        <w:ind w:left="2160" w:hanging="360"/>
      </w:pPr>
      <w:rPr>
        <w:rFonts w:ascii="Wingdings" w:hAnsi="Wingdings" w:hint="default"/>
      </w:rPr>
    </w:lvl>
    <w:lvl w:ilvl="3" w:tplc="4864A6FE" w:tentative="1">
      <w:start w:val="1"/>
      <w:numFmt w:val="bullet"/>
      <w:lvlText w:val=""/>
      <w:lvlJc w:val="left"/>
      <w:pPr>
        <w:ind w:left="2880" w:hanging="360"/>
      </w:pPr>
      <w:rPr>
        <w:rFonts w:ascii="Symbol" w:hAnsi="Symbol" w:hint="default"/>
      </w:rPr>
    </w:lvl>
    <w:lvl w:ilvl="4" w:tplc="0534E0FE" w:tentative="1">
      <w:start w:val="1"/>
      <w:numFmt w:val="bullet"/>
      <w:lvlText w:val="o"/>
      <w:lvlJc w:val="left"/>
      <w:pPr>
        <w:ind w:left="3600" w:hanging="360"/>
      </w:pPr>
      <w:rPr>
        <w:rFonts w:ascii="Courier New" w:hAnsi="Courier New" w:cs="Courier New" w:hint="default"/>
      </w:rPr>
    </w:lvl>
    <w:lvl w:ilvl="5" w:tplc="15B07628" w:tentative="1">
      <w:start w:val="1"/>
      <w:numFmt w:val="bullet"/>
      <w:lvlText w:val=""/>
      <w:lvlJc w:val="left"/>
      <w:pPr>
        <w:ind w:left="4320" w:hanging="360"/>
      </w:pPr>
      <w:rPr>
        <w:rFonts w:ascii="Wingdings" w:hAnsi="Wingdings" w:hint="default"/>
      </w:rPr>
    </w:lvl>
    <w:lvl w:ilvl="6" w:tplc="634E0268" w:tentative="1">
      <w:start w:val="1"/>
      <w:numFmt w:val="bullet"/>
      <w:lvlText w:val=""/>
      <w:lvlJc w:val="left"/>
      <w:pPr>
        <w:ind w:left="5040" w:hanging="360"/>
      </w:pPr>
      <w:rPr>
        <w:rFonts w:ascii="Symbol" w:hAnsi="Symbol" w:hint="default"/>
      </w:rPr>
    </w:lvl>
    <w:lvl w:ilvl="7" w:tplc="C19AE284" w:tentative="1">
      <w:start w:val="1"/>
      <w:numFmt w:val="bullet"/>
      <w:lvlText w:val="o"/>
      <w:lvlJc w:val="left"/>
      <w:pPr>
        <w:ind w:left="5760" w:hanging="360"/>
      </w:pPr>
      <w:rPr>
        <w:rFonts w:ascii="Courier New" w:hAnsi="Courier New" w:cs="Courier New" w:hint="default"/>
      </w:rPr>
    </w:lvl>
    <w:lvl w:ilvl="8" w:tplc="9AA09C3A"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12"/>
    <w:rsid w:val="002E7E38"/>
    <w:rsid w:val="004430AD"/>
    <w:rsid w:val="00B8062F"/>
    <w:rsid w:val="00BA7D94"/>
    <w:rsid w:val="00CA5112"/>
    <w:rsid w:val="00E1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7D26"/>
  <w15:docId w15:val="{050166DF-B357-4AB0-B3E3-41400642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608C7"/>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BA7D94"/>
    <w:pPr>
      <w:tabs>
        <w:tab w:val="center" w:pos="4513"/>
        <w:tab w:val="right" w:pos="9026"/>
      </w:tabs>
    </w:pPr>
  </w:style>
  <w:style w:type="character" w:customStyle="1" w:styleId="HeaderChar">
    <w:name w:val="Header Char"/>
    <w:basedOn w:val="DefaultParagraphFont"/>
    <w:link w:val="Header"/>
    <w:uiPriority w:val="99"/>
    <w:rsid w:val="00BA7D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7D94"/>
    <w:pPr>
      <w:tabs>
        <w:tab w:val="center" w:pos="4513"/>
        <w:tab w:val="right" w:pos="9026"/>
      </w:tabs>
    </w:pPr>
  </w:style>
  <w:style w:type="character" w:customStyle="1" w:styleId="FooterChar">
    <w:name w:val="Footer Char"/>
    <w:basedOn w:val="DefaultParagraphFont"/>
    <w:link w:val="Footer"/>
    <w:uiPriority w:val="99"/>
    <w:rsid w:val="00BA7D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6306</Words>
  <Characters>35949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Moister, Jeanette</dc:creator>
  <cp:lastModifiedBy>Jones, Debra</cp:lastModifiedBy>
  <cp:revision>3</cp:revision>
  <dcterms:created xsi:type="dcterms:W3CDTF">2021-01-12T11:00:00Z</dcterms:created>
  <dcterms:modified xsi:type="dcterms:W3CDTF">2021-02-04T08:37:00Z</dcterms:modified>
</cp:coreProperties>
</file>